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DC2" w:rsidRDefault="00A82DC2" w:rsidP="00A57A22">
      <w:pPr>
        <w:pStyle w:val="Titolo5"/>
        <w:spacing w:line="226" w:lineRule="atLeast"/>
      </w:pPr>
    </w:p>
    <w:p w:rsidR="00A82DC2" w:rsidRDefault="00A82DC2" w:rsidP="00A57A22">
      <w:pPr>
        <w:pStyle w:val="Titolo5"/>
        <w:spacing w:line="226" w:lineRule="atLeast"/>
      </w:pPr>
      <w:r>
        <w:rPr>
          <w:noProof/>
          <w:sz w:val="20"/>
        </w:rPr>
        <w:drawing>
          <wp:anchor distT="0" distB="0" distL="114300" distR="114300" simplePos="0" relativeHeight="251659264" behindDoc="0" locked="1" layoutInCell="1" allowOverlap="0" wp14:anchorId="66ADE9FD" wp14:editId="38F68DC4">
            <wp:simplePos x="0" y="0"/>
            <wp:positionH relativeFrom="page">
              <wp:posOffset>3611880</wp:posOffset>
            </wp:positionH>
            <wp:positionV relativeFrom="page">
              <wp:posOffset>442595</wp:posOffset>
            </wp:positionV>
            <wp:extent cx="668655" cy="6572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66865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DC2" w:rsidRDefault="00A82DC2" w:rsidP="00A57A22">
      <w:pPr>
        <w:pStyle w:val="Titolo5"/>
        <w:spacing w:line="226" w:lineRule="atLeast"/>
        <w:jc w:val="center"/>
        <w:rPr>
          <w:sz w:val="40"/>
        </w:rPr>
      </w:pPr>
      <w:r>
        <w:rPr>
          <w:sz w:val="40"/>
        </w:rPr>
        <w:t>TRIBUNALE DI CAGLIARI</w:t>
      </w:r>
    </w:p>
    <w:p w:rsidR="00A82DC2" w:rsidRDefault="00A82DC2" w:rsidP="00A57A22">
      <w:pPr>
        <w:spacing w:line="226" w:lineRule="atLeast"/>
        <w:jc w:val="center"/>
        <w:rPr>
          <w:i/>
          <w:iCs/>
          <w:sz w:val="24"/>
        </w:rPr>
      </w:pPr>
      <w:r>
        <w:rPr>
          <w:i/>
          <w:iCs/>
          <w:sz w:val="24"/>
        </w:rPr>
        <w:t>Sezione I Civile - Esecuzioni Immobiliari</w:t>
      </w:r>
    </w:p>
    <w:p w:rsidR="00A82DC2" w:rsidRDefault="00A82DC2" w:rsidP="00A57A22">
      <w:pPr>
        <w:autoSpaceDE w:val="0"/>
        <w:autoSpaceDN w:val="0"/>
        <w:adjustRightInd w:val="0"/>
        <w:spacing w:after="0" w:line="226" w:lineRule="atLeast"/>
        <w:jc w:val="both"/>
        <w:rPr>
          <w:rFonts w:ascii="Times New Roman" w:hAnsi="Times New Roman" w:cs="Times New Roman"/>
          <w:b/>
          <w:bCs/>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ISTRUZIONI E SPECIFICHE INTEGRATIVE DELL’ORDINANZA DI DELEGA</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Il Professionista Delegato (o referente della procedura), al momento che riceve la nomina (o</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comunicazione della stessa) dovrà attenersi scrupolosamente alle istruzioni dettate nella stessa dal</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Giudice dell’Esecuzione.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Ad integrazione delle stesse si specifica che il delegato dovrà provvedere:</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 a comunicare la nomina ed a trasmettere l’ordi</w:t>
      </w:r>
      <w:r w:rsidR="00A82DC2">
        <w:rPr>
          <w:rFonts w:ascii="Times New Roman" w:hAnsi="Times New Roman" w:cs="Times New Roman"/>
          <w:b/>
          <w:bCs/>
          <w:color w:val="000000"/>
          <w:sz w:val="24"/>
          <w:szCs w:val="24"/>
        </w:rPr>
        <w:t xml:space="preserve">nanza di delega immediatamente </w:t>
      </w:r>
      <w:r>
        <w:rPr>
          <w:rFonts w:ascii="Times New Roman" w:hAnsi="Times New Roman" w:cs="Times New Roman"/>
          <w:b/>
          <w:bCs/>
          <w:color w:val="000000"/>
          <w:sz w:val="24"/>
          <w:szCs w:val="24"/>
        </w:rPr>
        <w:t xml:space="preserve">al creditore procedente </w:t>
      </w:r>
      <w:r>
        <w:rPr>
          <w:rFonts w:ascii="Times New Roman" w:hAnsi="Times New Roman" w:cs="Times New Roman"/>
          <w:color w:val="000000"/>
          <w:sz w:val="24"/>
          <w:szCs w:val="24"/>
        </w:rPr>
        <w:t>con richiesta il fondo spese liquidato dal G.E. quale acconto sulle</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competenze e per le spese del gestore e del </w:t>
      </w:r>
      <w:r>
        <w:rPr>
          <w:rFonts w:ascii="Times New Roman" w:hAnsi="Times New Roman" w:cs="Times New Roman"/>
          <w:b/>
          <w:bCs/>
          <w:color w:val="000000"/>
          <w:sz w:val="24"/>
          <w:szCs w:val="24"/>
        </w:rPr>
        <w:t>PVP</w:t>
      </w:r>
      <w:r>
        <w:rPr>
          <w:rFonts w:ascii="Times New Roman" w:hAnsi="Times New Roman" w:cs="Times New Roman"/>
          <w:color w:val="000000"/>
          <w:sz w:val="24"/>
          <w:szCs w:val="24"/>
        </w:rPr>
        <w:t>, evidenziando in particolare che il mancato</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pagamento di detta ultima voce in tempo utile per la pubblicazione dell’avviso di vendita</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comporterà l’estinzione della procedura ex art. 631 bis </w:t>
      </w:r>
      <w:proofErr w:type="spellStart"/>
      <w:r>
        <w:rPr>
          <w:rFonts w:ascii="Times New Roman" w:hAnsi="Times New Roman" w:cs="Times New Roman"/>
          <w:color w:val="000000"/>
          <w:sz w:val="24"/>
          <w:szCs w:val="24"/>
        </w:rPr>
        <w:t>c.p.c.</w:t>
      </w:r>
      <w:proofErr w:type="spellEnd"/>
      <w:r>
        <w:rPr>
          <w:rFonts w:ascii="Times New Roman" w:hAnsi="Times New Roman" w:cs="Times New Roman"/>
          <w:color w:val="000000"/>
          <w:sz w:val="24"/>
          <w:szCs w:val="24"/>
        </w:rPr>
        <w:t>; in caso di mancato riscontro nel</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termine</w:t>
      </w:r>
      <w:proofErr w:type="gramEnd"/>
      <w:r>
        <w:rPr>
          <w:rFonts w:ascii="Times New Roman" w:hAnsi="Times New Roman" w:cs="Times New Roman"/>
          <w:color w:val="000000"/>
          <w:sz w:val="24"/>
          <w:szCs w:val="24"/>
        </w:rPr>
        <w:t xml:space="preserve"> fissato nella delega (30 gg.) a reiterare la richiesta </w:t>
      </w:r>
      <w:r>
        <w:rPr>
          <w:rFonts w:ascii="Times New Roman" w:hAnsi="Times New Roman" w:cs="Times New Roman"/>
          <w:b/>
          <w:bCs/>
          <w:color w:val="000000"/>
          <w:sz w:val="24"/>
          <w:szCs w:val="24"/>
        </w:rPr>
        <w:t>a tutti i creditori muniti di titolo</w:t>
      </w:r>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provvederà</w:t>
      </w:r>
      <w:proofErr w:type="gramEnd"/>
      <w:r>
        <w:rPr>
          <w:rFonts w:ascii="Times New Roman" w:hAnsi="Times New Roman" w:cs="Times New Roman"/>
          <w:b/>
          <w:bCs/>
          <w:color w:val="000000"/>
          <w:sz w:val="24"/>
          <w:szCs w:val="24"/>
        </w:rPr>
        <w:t xml:space="preserve"> a sollecitare </w:t>
      </w:r>
      <w:r>
        <w:rPr>
          <w:rFonts w:ascii="Times New Roman" w:hAnsi="Times New Roman" w:cs="Times New Roman"/>
          <w:color w:val="000000"/>
          <w:sz w:val="24"/>
          <w:szCs w:val="24"/>
        </w:rPr>
        <w:t>gli stessi al fine di ottenere la provvista necessaria per il PVP entro il</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termine</w:t>
      </w:r>
      <w:proofErr w:type="gramEnd"/>
      <w:r>
        <w:rPr>
          <w:rFonts w:ascii="Times New Roman" w:hAnsi="Times New Roman" w:cs="Times New Roman"/>
          <w:color w:val="000000"/>
          <w:sz w:val="24"/>
          <w:szCs w:val="24"/>
        </w:rPr>
        <w:t xml:space="preserve"> di 55 giorni prima della vendita (</w:t>
      </w:r>
      <w:proofErr w:type="spellStart"/>
      <w:r>
        <w:rPr>
          <w:rFonts w:ascii="Times New Roman" w:hAnsi="Times New Roman" w:cs="Times New Roman"/>
          <w:color w:val="000000"/>
          <w:sz w:val="24"/>
          <w:szCs w:val="24"/>
        </w:rPr>
        <w:t>v.infra</w:t>
      </w:r>
      <w:proofErr w:type="spellEnd"/>
      <w:r>
        <w:rPr>
          <w:rFonts w:ascii="Times New Roman" w:hAnsi="Times New Roman" w:cs="Times New Roman"/>
          <w:color w:val="000000"/>
          <w:sz w:val="24"/>
          <w:szCs w:val="24"/>
        </w:rPr>
        <w:t xml:space="preserve"> punto 5);</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ad esaminare il fascicolo dell’esecuzione ed all’esito: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 a relazionare prontamente il Giudice laddove riscontri problematiche ostative alla vendita (titolarità</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dell’esecutato, continuità delle trascrizioni, carenze della perizia di stima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 a fare istanza al Giudice nel caso ritenga necessario integrare o modificare la descrizione del bene</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contenuta nell’ordinanza di delega;</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 avviso di vendita</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16"/>
          <w:szCs w:val="16"/>
        </w:rPr>
      </w:pPr>
      <w:r>
        <w:rPr>
          <w:rFonts w:ascii="Times New Roman" w:hAnsi="Times New Roman" w:cs="Times New Roman"/>
          <w:color w:val="000000"/>
          <w:sz w:val="24"/>
          <w:szCs w:val="24"/>
        </w:rPr>
        <w:t>Ad emettere l’avviso di vendita entro 60 giorni dalla ricezio</w:t>
      </w:r>
      <w:r w:rsidR="00A82DC2">
        <w:rPr>
          <w:rFonts w:ascii="Times New Roman" w:hAnsi="Times New Roman" w:cs="Times New Roman"/>
          <w:color w:val="000000"/>
          <w:sz w:val="24"/>
          <w:szCs w:val="24"/>
        </w:rPr>
        <w:t>ne o comunicazione della nomina</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secondo</w:t>
      </w:r>
      <w:proofErr w:type="gramEnd"/>
      <w:r>
        <w:rPr>
          <w:rFonts w:ascii="Times New Roman" w:hAnsi="Times New Roman" w:cs="Times New Roman"/>
          <w:color w:val="000000"/>
          <w:sz w:val="24"/>
          <w:szCs w:val="24"/>
        </w:rPr>
        <w:t xml:space="preserve"> il modello pubblicato sul sito del Tribunale di </w:t>
      </w:r>
      <w:r w:rsidR="00A82DC2">
        <w:rPr>
          <w:rFonts w:ascii="Times New Roman" w:hAnsi="Times New Roman" w:cs="Times New Roman"/>
          <w:color w:val="000000"/>
          <w:sz w:val="24"/>
          <w:szCs w:val="24"/>
        </w:rPr>
        <w:t>Cagliari</w:t>
      </w:r>
      <w:r>
        <w:rPr>
          <w:rFonts w:ascii="Times New Roman" w:hAnsi="Times New Roman" w:cs="Times New Roman"/>
          <w:color w:val="000000"/>
          <w:sz w:val="24"/>
          <w:szCs w:val="24"/>
        </w:rPr>
        <w:t>, completandolo con i dati mancanti</w:t>
      </w:r>
      <w:r>
        <w:rPr>
          <w:rFonts w:ascii="Times New Roman" w:hAnsi="Times New Roman" w:cs="Times New Roman"/>
          <w:color w:val="FF0000"/>
          <w:sz w:val="16"/>
          <w:szCs w:val="16"/>
        </w:rPr>
        <w:t xml:space="preserve"> </w:t>
      </w:r>
      <w:r>
        <w:rPr>
          <w:rFonts w:ascii="Times New Roman" w:hAnsi="Times New Roman" w:cs="Times New Roman"/>
          <w:color w:val="000000"/>
          <w:sz w:val="24"/>
          <w:szCs w:val="24"/>
        </w:rPr>
        <w:t>e</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nel rispetto dei termini indicati </w:t>
      </w:r>
      <w:r w:rsidR="00A82DC2">
        <w:rPr>
          <w:rFonts w:ascii="Times New Roman" w:hAnsi="Times New Roman" w:cs="Times New Roman"/>
          <w:color w:val="000000"/>
          <w:sz w:val="24"/>
          <w:szCs w:val="24"/>
        </w:rPr>
        <w:t>n</w:t>
      </w:r>
      <w:r>
        <w:rPr>
          <w:rFonts w:ascii="Times New Roman" w:hAnsi="Times New Roman" w:cs="Times New Roman"/>
          <w:color w:val="000000"/>
          <w:sz w:val="24"/>
          <w:szCs w:val="24"/>
        </w:rPr>
        <w:t>ella delega;</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Il giorno stesso </w:t>
      </w:r>
      <w:r>
        <w:rPr>
          <w:rFonts w:ascii="Times New Roman" w:hAnsi="Times New Roman" w:cs="Times New Roman"/>
          <w:color w:val="000000"/>
          <w:sz w:val="24"/>
          <w:szCs w:val="24"/>
        </w:rPr>
        <w:t>dell’emissione il delegato provvederà:</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a pubblicare l’avviso </w:t>
      </w:r>
      <w:r>
        <w:rPr>
          <w:rFonts w:ascii="Times New Roman" w:hAnsi="Times New Roman" w:cs="Times New Roman"/>
          <w:color w:val="000000"/>
          <w:sz w:val="24"/>
          <w:szCs w:val="24"/>
        </w:rPr>
        <w:t>a mezzo PCT sul SIECIC o sul SICID;</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ad inviarlo </w:t>
      </w:r>
      <w:r w:rsidR="00A82DC2">
        <w:rPr>
          <w:rFonts w:ascii="Times New Roman" w:hAnsi="Times New Roman" w:cs="Times New Roman"/>
          <w:color w:val="000000"/>
          <w:sz w:val="24"/>
          <w:szCs w:val="24"/>
        </w:rPr>
        <w:t>al custode</w:t>
      </w:r>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 pubblicare </w:t>
      </w:r>
      <w:r w:rsidR="004B2D56">
        <w:rPr>
          <w:rFonts w:ascii="Times New Roman" w:hAnsi="Times New Roman" w:cs="Times New Roman"/>
          <w:b/>
          <w:bCs/>
          <w:color w:val="000000"/>
          <w:sz w:val="24"/>
          <w:szCs w:val="24"/>
        </w:rPr>
        <w:t xml:space="preserve">o a far pubblicare </w:t>
      </w:r>
      <w:r>
        <w:rPr>
          <w:rFonts w:ascii="Times New Roman" w:hAnsi="Times New Roman" w:cs="Times New Roman"/>
          <w:b/>
          <w:bCs/>
          <w:color w:val="000000"/>
          <w:sz w:val="24"/>
          <w:szCs w:val="24"/>
        </w:rPr>
        <w:t>lo stesso</w:t>
      </w:r>
      <w:r w:rsidR="004B2D56">
        <w:rPr>
          <w:rFonts w:ascii="Times New Roman" w:hAnsi="Times New Roman" w:cs="Times New Roman"/>
          <w:b/>
          <w:bCs/>
          <w:color w:val="000000"/>
          <w:sz w:val="24"/>
          <w:szCs w:val="24"/>
        </w:rPr>
        <w:t xml:space="preserve"> da parte del gestore delle vendite telematiche</w:t>
      </w:r>
      <w:r>
        <w:rPr>
          <w:rFonts w:ascii="Times New Roman" w:hAnsi="Times New Roman" w:cs="Times New Roman"/>
          <w:b/>
          <w:bCs/>
          <w:color w:val="000000"/>
          <w:sz w:val="24"/>
          <w:szCs w:val="24"/>
        </w:rPr>
        <w:t xml:space="preserve"> – unitamente all’ordinanza di delega </w:t>
      </w:r>
      <w:r>
        <w:rPr>
          <w:rFonts w:ascii="Times New Roman" w:hAnsi="Times New Roman" w:cs="Times New Roman"/>
          <w:color w:val="000000"/>
          <w:sz w:val="24"/>
          <w:szCs w:val="24"/>
        </w:rPr>
        <w:t xml:space="preserve">- sul </w:t>
      </w:r>
      <w:r>
        <w:rPr>
          <w:rFonts w:ascii="Times New Roman" w:hAnsi="Times New Roman" w:cs="Times New Roman"/>
          <w:b/>
          <w:bCs/>
          <w:color w:val="000000"/>
          <w:sz w:val="24"/>
          <w:szCs w:val="24"/>
        </w:rPr>
        <w:t>Portale delle Vendite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Pubbliche </w:t>
      </w:r>
      <w:r>
        <w:rPr>
          <w:rFonts w:ascii="Times New Roman" w:hAnsi="Times New Roman" w:cs="Times New Roman"/>
          <w:color w:val="000000"/>
          <w:sz w:val="24"/>
          <w:szCs w:val="24"/>
        </w:rPr>
        <w:t>(se si è già in possesso dei fondi necessari; si ricorda che gli stessi non possono</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essere anticipati dal delegato ma devono essere corrisposti da uno dei creditori muniti di titolo);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la</w:t>
      </w:r>
      <w:proofErr w:type="gramEnd"/>
      <w:r>
        <w:rPr>
          <w:rFonts w:ascii="Times New Roman" w:hAnsi="Times New Roman" w:cs="Times New Roman"/>
          <w:color w:val="000000"/>
          <w:sz w:val="24"/>
          <w:szCs w:val="24"/>
        </w:rPr>
        <w:t xml:space="preserve"> pubblicazione sul PVP dovrà essere effettuata comunque in tempo utile per consentire gli altri</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adempimenti pubblicitari, tempo che si indica prudenzialmente in almeno 55 giorni prima della</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vendita; detto termine potrà essere superato solo se il pagamento intervenisse in data successiva,</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 comunque non oltre i 46 giorni prima dell’esperimento; in difetto non procederà alla</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pubblicazione e relazionerà il Giudice per i provvedimenti di cui all’art. 631 bis </w:t>
      </w:r>
      <w:proofErr w:type="spellStart"/>
      <w:r>
        <w:rPr>
          <w:rFonts w:ascii="Times New Roman" w:hAnsi="Times New Roman" w:cs="Times New Roman"/>
          <w:color w:val="000000"/>
          <w:sz w:val="24"/>
          <w:szCs w:val="24"/>
        </w:rPr>
        <w:t>c.p.c.</w:t>
      </w:r>
      <w:proofErr w:type="spellEnd"/>
      <w:r w:rsidR="0064641E">
        <w:rPr>
          <w:rFonts w:ascii="Times New Roman" w:hAnsi="Times New Roman" w:cs="Times New Roman"/>
          <w:color w:val="000000"/>
          <w:sz w:val="24"/>
          <w:szCs w:val="24"/>
        </w:rPr>
        <w:t>.</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64641E"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 F</w:t>
      </w:r>
      <w:r w:rsidR="00A82DC2">
        <w:rPr>
          <w:rFonts w:ascii="Times New Roman" w:hAnsi="Times New Roman" w:cs="Times New Roman"/>
          <w:b/>
          <w:bCs/>
          <w:color w:val="000000"/>
          <w:sz w:val="24"/>
          <w:szCs w:val="24"/>
        </w:rPr>
        <w:t>ase della vendita</w:t>
      </w:r>
      <w:r w:rsidR="00A82DC2">
        <w:rPr>
          <w:rStyle w:val="Rimandonotaapidipagina"/>
          <w:rFonts w:ascii="Times New Roman" w:hAnsi="Times New Roman" w:cs="Times New Roman"/>
          <w:b/>
          <w:bCs/>
          <w:color w:val="000000"/>
          <w:sz w:val="24"/>
          <w:szCs w:val="24"/>
        </w:rPr>
        <w:footnoteReference w:id="1"/>
      </w:r>
      <w:r w:rsidR="008832DD">
        <w:rPr>
          <w:rFonts w:ascii="Times New Roman" w:hAnsi="Times New Roman" w:cs="Times New Roman"/>
          <w:b/>
          <w:bCs/>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Il giorno della vendita il delegato: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procederà, quindi, a verificare il fascicolo telematico della procedura al fine di accertare che non</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 siano circostanze ostative alla vendita o che impongano di rinviare le operazioni di gara (es.</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deposito istanze di sospensione, desistenze, opposizioni con richiesta di sospensione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valutata l’ammissibilità delle offerte, escluderà dalla gara gli offerenti che hanno depositato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offerte</w:t>
      </w:r>
      <w:proofErr w:type="gramEnd"/>
      <w:r>
        <w:rPr>
          <w:rFonts w:ascii="Times New Roman" w:hAnsi="Times New Roman" w:cs="Times New Roman"/>
          <w:color w:val="000000"/>
          <w:sz w:val="24"/>
          <w:szCs w:val="24"/>
        </w:rPr>
        <w:t xml:space="preserve"> non efficaci e procederà secondo le disposizioni della delega;</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sospenderà la vendita nell’ipotesi di cui all’art. 504 </w:t>
      </w:r>
      <w:proofErr w:type="spellStart"/>
      <w:r>
        <w:rPr>
          <w:rFonts w:ascii="Times New Roman" w:hAnsi="Times New Roman" w:cs="Times New Roman"/>
          <w:color w:val="000000"/>
          <w:sz w:val="24"/>
          <w:szCs w:val="24"/>
        </w:rPr>
        <w:t>c.p.c.</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verbalizzerà, tramite i modelli di verbale presenti sul portale del gestore, tutte le operazioni di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vendita</w:t>
      </w:r>
      <w:proofErr w:type="gramEnd"/>
      <w:r>
        <w:rPr>
          <w:rFonts w:ascii="Times New Roman" w:hAnsi="Times New Roman" w:cs="Times New Roman"/>
          <w:color w:val="000000"/>
          <w:sz w:val="24"/>
          <w:szCs w:val="24"/>
        </w:rPr>
        <w:t xml:space="preserve">, integrando gli stessi dei dati mancanti (descrizione lotto, presenza delle parti,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provvederà </w:t>
      </w:r>
      <w:r w:rsidR="00A82DC2">
        <w:rPr>
          <w:rFonts w:ascii="Times New Roman" w:hAnsi="Times New Roman" w:cs="Times New Roman"/>
          <w:color w:val="000000"/>
          <w:sz w:val="24"/>
          <w:szCs w:val="24"/>
        </w:rPr>
        <w:t>a c</w:t>
      </w:r>
      <w:r>
        <w:rPr>
          <w:rFonts w:ascii="Times New Roman" w:hAnsi="Times New Roman" w:cs="Times New Roman"/>
          <w:color w:val="000000"/>
          <w:sz w:val="24"/>
          <w:szCs w:val="24"/>
        </w:rPr>
        <w:t xml:space="preserve">omunicare </w:t>
      </w:r>
      <w:r w:rsidR="00A82DC2">
        <w:rPr>
          <w:rFonts w:ascii="Times New Roman" w:hAnsi="Times New Roman" w:cs="Times New Roman"/>
          <w:color w:val="000000"/>
          <w:sz w:val="24"/>
          <w:szCs w:val="24"/>
        </w:rPr>
        <w:t>alla Banca</w:t>
      </w:r>
      <w:r>
        <w:rPr>
          <w:rFonts w:ascii="Times New Roman" w:hAnsi="Times New Roman" w:cs="Times New Roman"/>
          <w:color w:val="000000"/>
          <w:sz w:val="24"/>
          <w:szCs w:val="24"/>
        </w:rPr>
        <w:t xml:space="preserve"> le cauzioni da restituire a mezzo bonifico agli offerenti</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telematici;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depositerà i verbali – unitamente al report di gara, agli adempimenti pubblicitari ed alle offerte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pervenute</w:t>
      </w:r>
      <w:proofErr w:type="gramEnd"/>
      <w:r>
        <w:rPr>
          <w:rFonts w:ascii="Times New Roman" w:hAnsi="Times New Roman" w:cs="Times New Roman"/>
          <w:color w:val="000000"/>
          <w:sz w:val="24"/>
          <w:szCs w:val="24"/>
        </w:rPr>
        <w:t xml:space="preserve"> – a mezzo PCT;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comunicherà l’esito dell’esperimento alle parti ed agli ausiliari, invitandoli a depositare le note</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 precisazione dei crediti e le istanze di liquidazione dei compensi;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aggiornerà il PVP ed il sito di pubblicità con l’esito dell’</w:t>
      </w:r>
      <w:r w:rsidR="0064641E">
        <w:rPr>
          <w:rFonts w:ascii="Times New Roman" w:hAnsi="Times New Roman" w:cs="Times New Roman"/>
          <w:color w:val="000000"/>
          <w:sz w:val="24"/>
          <w:szCs w:val="24"/>
        </w:rPr>
        <w:t>esperimento di vendita;</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64641E" w:rsidRDefault="0064641E"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 a</w:t>
      </w:r>
      <w:r w:rsidR="008832DD">
        <w:rPr>
          <w:rFonts w:ascii="Times New Roman" w:hAnsi="Times New Roman" w:cs="Times New Roman"/>
          <w:b/>
          <w:bCs/>
          <w:color w:val="000000"/>
          <w:sz w:val="24"/>
          <w:szCs w:val="24"/>
        </w:rPr>
        <w:t>dempimenti post vendita</w:t>
      </w:r>
      <w:r w:rsidR="008832DD">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 caso di aggiudicazione il delegato provvederà:</w:t>
      </w:r>
    </w:p>
    <w:p w:rsidR="00544E80" w:rsidRPr="00544E80" w:rsidRDefault="00544E80" w:rsidP="00A57A22">
      <w:pPr>
        <w:autoSpaceDE w:val="0"/>
        <w:autoSpaceDN w:val="0"/>
        <w:adjustRightInd w:val="0"/>
        <w:spacing w:after="0" w:line="226" w:lineRule="atLeast"/>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Pr="00544E80">
        <w:rPr>
          <w:rFonts w:ascii="Times New Roman" w:hAnsi="Times New Roman" w:cs="Times New Roman"/>
          <w:bCs/>
          <w:color w:val="000000"/>
          <w:sz w:val="24"/>
          <w:szCs w:val="24"/>
        </w:rPr>
        <w:t xml:space="preserve">a comunicare alla Cancelleria dell’esecuzioni immobiliari l’esigenza di aprire un c/c intestato alla procedura (ove </w:t>
      </w:r>
      <w:r>
        <w:rPr>
          <w:rFonts w:ascii="Times New Roman" w:hAnsi="Times New Roman" w:cs="Times New Roman"/>
          <w:bCs/>
          <w:color w:val="000000"/>
          <w:sz w:val="24"/>
          <w:szCs w:val="24"/>
        </w:rPr>
        <w:t>non ancora aperto</w:t>
      </w:r>
      <w:r w:rsidRPr="00544E80">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A82DC2">
        <w:rPr>
          <w:rFonts w:ascii="Times New Roman" w:hAnsi="Times New Roman" w:cs="Times New Roman"/>
          <w:color w:val="000000"/>
          <w:sz w:val="24"/>
          <w:szCs w:val="24"/>
        </w:rPr>
        <w:t xml:space="preserve">a </w:t>
      </w:r>
      <w:r>
        <w:rPr>
          <w:rFonts w:ascii="Times New Roman" w:hAnsi="Times New Roman" w:cs="Times New Roman"/>
          <w:color w:val="000000"/>
          <w:sz w:val="24"/>
          <w:szCs w:val="24"/>
        </w:rPr>
        <w:t>dare disposizione</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immediata al</w:t>
      </w:r>
      <w:r w:rsidR="00A82DC2">
        <w:rPr>
          <w:rFonts w:ascii="Times New Roman" w:hAnsi="Times New Roman" w:cs="Times New Roman"/>
          <w:color w:val="000000"/>
          <w:sz w:val="24"/>
          <w:szCs w:val="24"/>
        </w:rPr>
        <w:t xml:space="preserve">la Banca </w:t>
      </w:r>
      <w:r w:rsidR="00B40E41">
        <w:rPr>
          <w:rFonts w:ascii="Times New Roman" w:hAnsi="Times New Roman" w:cs="Times New Roman"/>
          <w:color w:val="000000"/>
          <w:sz w:val="24"/>
          <w:szCs w:val="24"/>
        </w:rPr>
        <w:t xml:space="preserve">perché giri </w:t>
      </w:r>
      <w:r>
        <w:rPr>
          <w:rFonts w:ascii="Times New Roman" w:hAnsi="Times New Roman" w:cs="Times New Roman"/>
          <w:color w:val="000000"/>
          <w:sz w:val="24"/>
          <w:szCs w:val="24"/>
        </w:rPr>
        <w:t>il bonifico</w:t>
      </w:r>
      <w:r w:rsidR="00B40E41">
        <w:rPr>
          <w:rFonts w:ascii="Times New Roman" w:hAnsi="Times New Roman" w:cs="Times New Roman"/>
          <w:color w:val="000000"/>
          <w:sz w:val="24"/>
          <w:szCs w:val="24"/>
        </w:rPr>
        <w:t xml:space="preserve"> relativo alla cauzione </w:t>
      </w:r>
      <w:proofErr w:type="gramStart"/>
      <w:r w:rsidR="00B40E41">
        <w:rPr>
          <w:rFonts w:ascii="Times New Roman" w:hAnsi="Times New Roman" w:cs="Times New Roman"/>
          <w:color w:val="000000"/>
          <w:sz w:val="24"/>
          <w:szCs w:val="24"/>
        </w:rPr>
        <w:t>versata  da</w:t>
      </w:r>
      <w:r>
        <w:rPr>
          <w:rFonts w:ascii="Times New Roman" w:hAnsi="Times New Roman" w:cs="Times New Roman"/>
          <w:color w:val="000000"/>
          <w:sz w:val="24"/>
          <w:szCs w:val="24"/>
        </w:rPr>
        <w:t>ll’aggiudicatario</w:t>
      </w:r>
      <w:proofErr w:type="gramEnd"/>
      <w:r>
        <w:rPr>
          <w:rFonts w:ascii="Times New Roman" w:hAnsi="Times New Roman" w:cs="Times New Roman"/>
          <w:color w:val="000000"/>
          <w:sz w:val="24"/>
          <w:szCs w:val="24"/>
        </w:rPr>
        <w:t xml:space="preserve"> </w:t>
      </w:r>
      <w:r w:rsidR="00544E80">
        <w:rPr>
          <w:rFonts w:ascii="Times New Roman" w:hAnsi="Times New Roman" w:cs="Times New Roman"/>
          <w:color w:val="000000"/>
          <w:sz w:val="24"/>
          <w:szCs w:val="24"/>
        </w:rPr>
        <w:t>sul c/c</w:t>
      </w:r>
      <w:r w:rsidR="00B40E41">
        <w:rPr>
          <w:rFonts w:ascii="Times New Roman" w:hAnsi="Times New Roman" w:cs="Times New Roman"/>
          <w:color w:val="000000"/>
          <w:sz w:val="24"/>
          <w:szCs w:val="24"/>
        </w:rPr>
        <w:t xml:space="preserve"> della procedura</w:t>
      </w:r>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comunicare entro 20 giorni dall’esperimento di vendita all’aggiudicatario le modalità di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versamento del saldo prezzo e delle spese, richiedendo i documenti necessari per l’emissione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del</w:t>
      </w:r>
      <w:proofErr w:type="gramEnd"/>
      <w:r>
        <w:rPr>
          <w:rFonts w:ascii="Times New Roman" w:hAnsi="Times New Roman" w:cs="Times New Roman"/>
          <w:color w:val="000000"/>
          <w:sz w:val="24"/>
          <w:szCs w:val="24"/>
        </w:rPr>
        <w:t xml:space="preserve"> decreto di trasferimento (dichiarazioni fiscali, visure </w:t>
      </w:r>
      <w:proofErr w:type="spellStart"/>
      <w:r>
        <w:rPr>
          <w:rFonts w:ascii="Times New Roman" w:hAnsi="Times New Roman" w:cs="Times New Roman"/>
          <w:color w:val="000000"/>
          <w:sz w:val="24"/>
          <w:szCs w:val="24"/>
        </w:rPr>
        <w:t>ipocatastali</w:t>
      </w:r>
      <w:proofErr w:type="spellEnd"/>
      <w:r>
        <w:rPr>
          <w:rFonts w:ascii="Times New Roman" w:hAnsi="Times New Roman" w:cs="Times New Roman"/>
          <w:color w:val="000000"/>
          <w:sz w:val="24"/>
          <w:szCs w:val="24"/>
        </w:rPr>
        <w:t xml:space="preserve"> aggiornate, </w:t>
      </w:r>
      <w:r w:rsidR="00B40E41">
        <w:rPr>
          <w:rFonts w:ascii="Times New Roman" w:hAnsi="Times New Roman" w:cs="Times New Roman"/>
          <w:color w:val="000000"/>
          <w:sz w:val="24"/>
          <w:szCs w:val="24"/>
        </w:rPr>
        <w:t>dichiarazione “Prima casa”</w:t>
      </w:r>
      <w:r>
        <w:rPr>
          <w:rFonts w:ascii="Times New Roman" w:hAnsi="Times New Roman" w:cs="Times New Roman"/>
          <w:color w:val="000000"/>
          <w:sz w:val="24"/>
          <w:szCs w:val="24"/>
        </w:rPr>
        <w:t xml:space="preserve">, </w:t>
      </w:r>
      <w:r w:rsidR="00B40E41">
        <w:rPr>
          <w:rFonts w:ascii="Times New Roman" w:hAnsi="Times New Roman" w:cs="Times New Roman"/>
          <w:color w:val="000000"/>
          <w:sz w:val="24"/>
          <w:szCs w:val="24"/>
        </w:rPr>
        <w:t>documenti di identità aggiudicatario)</w:t>
      </w:r>
      <w:r>
        <w:rPr>
          <w:rFonts w:ascii="Times New Roman" w:hAnsi="Times New Roman" w:cs="Times New Roman"/>
          <w:color w:val="000000"/>
          <w:sz w:val="24"/>
          <w:szCs w:val="24"/>
        </w:rPr>
        <w:t>;</w:t>
      </w:r>
    </w:p>
    <w:p w:rsidR="0014355F" w:rsidRDefault="0014355F" w:rsidP="00A57A22">
      <w:pPr>
        <w:autoSpaceDE w:val="0"/>
        <w:autoSpaceDN w:val="0"/>
        <w:adjustRightInd w:val="0"/>
        <w:spacing w:after="0" w:line="226" w:lineRule="atLeast"/>
        <w:jc w:val="both"/>
        <w:rPr>
          <w:rFonts w:ascii="Times New Roman" w:hAnsi="Times New Roman" w:cs="Times New Roman"/>
          <w:color w:val="000000"/>
          <w:sz w:val="24"/>
          <w:szCs w:val="24"/>
        </w:rPr>
      </w:pPr>
      <w:r w:rsidRPr="00BE388C">
        <w:rPr>
          <w:rFonts w:ascii="Times New Roman" w:hAnsi="Times New Roman" w:cs="Times New Roman"/>
          <w:color w:val="000000"/>
          <w:sz w:val="24"/>
          <w:szCs w:val="24"/>
        </w:rPr>
        <w:t>- a comunicare al Custode giudiziario l’avvenuta aggiudicazione, il versamento del saldo prezzo e</w:t>
      </w:r>
      <w:r w:rsidR="00433FFC" w:rsidRPr="00BE388C">
        <w:rPr>
          <w:rFonts w:ascii="Times New Roman" w:hAnsi="Times New Roman" w:cs="Times New Roman"/>
          <w:color w:val="000000"/>
          <w:sz w:val="24"/>
          <w:szCs w:val="24"/>
        </w:rPr>
        <w:t>, previa autorizzazione da parte dell’aggiudicatario,</w:t>
      </w:r>
      <w:r w:rsidRPr="00BE388C">
        <w:rPr>
          <w:rFonts w:ascii="Times New Roman" w:hAnsi="Times New Roman" w:cs="Times New Roman"/>
          <w:color w:val="000000"/>
          <w:sz w:val="24"/>
          <w:szCs w:val="24"/>
        </w:rPr>
        <w:t xml:space="preserve"> i </w:t>
      </w:r>
      <w:r w:rsidR="00433FFC" w:rsidRPr="00BE388C">
        <w:rPr>
          <w:rFonts w:ascii="Times New Roman" w:hAnsi="Times New Roman" w:cs="Times New Roman"/>
          <w:color w:val="000000"/>
          <w:sz w:val="24"/>
          <w:szCs w:val="24"/>
        </w:rPr>
        <w:t>recapiti</w:t>
      </w:r>
      <w:r w:rsidRPr="00BE388C">
        <w:rPr>
          <w:rFonts w:ascii="Times New Roman" w:hAnsi="Times New Roman" w:cs="Times New Roman"/>
          <w:color w:val="000000"/>
          <w:sz w:val="24"/>
          <w:szCs w:val="24"/>
        </w:rPr>
        <w:t xml:space="preserve"> del</w:t>
      </w:r>
      <w:r w:rsidR="00433FFC" w:rsidRPr="00BE388C">
        <w:rPr>
          <w:rFonts w:ascii="Times New Roman" w:hAnsi="Times New Roman" w:cs="Times New Roman"/>
          <w:color w:val="000000"/>
          <w:sz w:val="24"/>
          <w:szCs w:val="24"/>
        </w:rPr>
        <w:t xml:space="preserve"> medesimo</w:t>
      </w:r>
      <w:r w:rsidRPr="00BE388C">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alla scadenza del termine del saldo prezzo, a segnalare al giudice l’eventuale inadempimento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dell’aggiudicatario</w:t>
      </w:r>
      <w:proofErr w:type="gramEnd"/>
      <w:r>
        <w:rPr>
          <w:rFonts w:ascii="Times New Roman" w:hAnsi="Times New Roman" w:cs="Times New Roman"/>
          <w:color w:val="000000"/>
          <w:sz w:val="24"/>
          <w:szCs w:val="24"/>
        </w:rPr>
        <w:t xml:space="preserve"> per i provvedimenti di cui all’art. 587 </w:t>
      </w:r>
      <w:proofErr w:type="spellStart"/>
      <w:r>
        <w:rPr>
          <w:rFonts w:ascii="Times New Roman" w:hAnsi="Times New Roman" w:cs="Times New Roman"/>
          <w:color w:val="000000"/>
          <w:sz w:val="24"/>
          <w:szCs w:val="24"/>
        </w:rPr>
        <w:t>c.p.c.</w:t>
      </w:r>
      <w:proofErr w:type="spellEnd"/>
      <w:r>
        <w:rPr>
          <w:rFonts w:ascii="Times New Roman" w:hAnsi="Times New Roman" w:cs="Times New Roman"/>
          <w:color w:val="000000"/>
          <w:sz w:val="24"/>
          <w:szCs w:val="24"/>
        </w:rPr>
        <w:t>;</w:t>
      </w:r>
    </w:p>
    <w:p w:rsidR="00A82DC2" w:rsidRDefault="00A82DC2"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64641E"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 d</w:t>
      </w:r>
      <w:r w:rsidR="008832DD">
        <w:rPr>
          <w:rFonts w:ascii="Times New Roman" w:hAnsi="Times New Roman" w:cs="Times New Roman"/>
          <w:b/>
          <w:bCs/>
          <w:color w:val="000000"/>
          <w:sz w:val="24"/>
          <w:szCs w:val="24"/>
        </w:rPr>
        <w:t>ecreto di trasferimento</w:t>
      </w:r>
    </w:p>
    <w:p w:rsidR="00B40E41" w:rsidRDefault="00B40E41" w:rsidP="00A57A22">
      <w:pPr>
        <w:autoSpaceDE w:val="0"/>
        <w:autoSpaceDN w:val="0"/>
        <w:adjustRightInd w:val="0"/>
        <w:spacing w:after="0" w:line="226" w:lineRule="atLeast"/>
        <w:jc w:val="both"/>
        <w:rPr>
          <w:rFonts w:ascii="Times New Roman" w:hAnsi="Times New Roman" w:cs="Times New Roman"/>
          <w:b/>
          <w:bCs/>
          <w:color w:val="000000"/>
          <w:sz w:val="24"/>
          <w:szCs w:val="24"/>
        </w:rPr>
      </w:pPr>
    </w:p>
    <w:p w:rsidR="00B40E41"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depos</w:t>
      </w:r>
      <w:r w:rsidR="00B40E41">
        <w:rPr>
          <w:rFonts w:ascii="Times New Roman" w:hAnsi="Times New Roman" w:cs="Times New Roman"/>
          <w:color w:val="000000"/>
          <w:sz w:val="24"/>
          <w:szCs w:val="24"/>
        </w:rPr>
        <w:t>itare senza indugio, non oltre 3</w:t>
      </w:r>
      <w:r>
        <w:rPr>
          <w:rFonts w:ascii="Times New Roman" w:hAnsi="Times New Roman" w:cs="Times New Roman"/>
          <w:color w:val="000000"/>
          <w:sz w:val="24"/>
          <w:szCs w:val="24"/>
        </w:rPr>
        <w:t>0 giorni dal saldo prezzo e spese, la bozza del decreto di</w:t>
      </w:r>
      <w:r w:rsidR="00A82D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trasferimento in formato editabile, unitamente agli allegati necessari (dichiarazione di avvenuto</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saldo prezzo e spese con allegate copie dei bonifici, </w:t>
      </w:r>
      <w:r w:rsidR="00B40E41">
        <w:rPr>
          <w:rFonts w:ascii="Times New Roman" w:hAnsi="Times New Roman" w:cs="Times New Roman"/>
          <w:color w:val="000000"/>
          <w:sz w:val="24"/>
          <w:szCs w:val="24"/>
        </w:rPr>
        <w:t xml:space="preserve">dichiarazioni fiscali, visure </w:t>
      </w:r>
      <w:proofErr w:type="spellStart"/>
      <w:r w:rsidR="00B40E41">
        <w:rPr>
          <w:rFonts w:ascii="Times New Roman" w:hAnsi="Times New Roman" w:cs="Times New Roman"/>
          <w:color w:val="000000"/>
          <w:sz w:val="24"/>
          <w:szCs w:val="24"/>
        </w:rPr>
        <w:t>ipocatastali</w:t>
      </w:r>
      <w:proofErr w:type="spellEnd"/>
      <w:r w:rsidR="00B40E41">
        <w:rPr>
          <w:rFonts w:ascii="Times New Roman" w:hAnsi="Times New Roman" w:cs="Times New Roman"/>
          <w:color w:val="000000"/>
          <w:sz w:val="24"/>
          <w:szCs w:val="24"/>
        </w:rPr>
        <w:t xml:space="preserve"> aggiornate, dichiarazione “Prima casa”, documenti di identità aggiudicatario;</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provvedere tempestivamente alla trascrizione del decreto, alla registrazione, alla voltura ed</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alle</w:t>
      </w:r>
      <w:proofErr w:type="gramEnd"/>
      <w:r>
        <w:rPr>
          <w:rFonts w:ascii="Times New Roman" w:hAnsi="Times New Roman" w:cs="Times New Roman"/>
          <w:color w:val="000000"/>
          <w:sz w:val="24"/>
          <w:szCs w:val="24"/>
        </w:rPr>
        <w:t xml:space="preserve"> cancellazioni delle formalità pregiudizievoli ordinate dal giudice;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depositare contestualmente istanza di fissazione dell’udienza di discussione del piano di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riparto</w:t>
      </w:r>
      <w:proofErr w:type="gramEnd"/>
      <w:r>
        <w:rPr>
          <w:rFonts w:ascii="Times New Roman" w:hAnsi="Times New Roman" w:cs="Times New Roman"/>
          <w:color w:val="000000"/>
          <w:sz w:val="24"/>
          <w:szCs w:val="24"/>
        </w:rPr>
        <w:t>;</w:t>
      </w:r>
    </w:p>
    <w:p w:rsidR="008479CD" w:rsidRDefault="008479CD" w:rsidP="00A57A22">
      <w:pPr>
        <w:autoSpaceDE w:val="0"/>
        <w:autoSpaceDN w:val="0"/>
        <w:adjustRightInd w:val="0"/>
        <w:spacing w:after="0" w:line="226" w:lineRule="atLeast"/>
        <w:jc w:val="both"/>
        <w:rPr>
          <w:rFonts w:ascii="Times New Roman" w:hAnsi="Times New Roman" w:cs="Times New Roman"/>
          <w:color w:val="000000"/>
          <w:sz w:val="24"/>
          <w:szCs w:val="24"/>
        </w:rPr>
      </w:pPr>
    </w:p>
    <w:p w:rsidR="008832DD" w:rsidRDefault="0064641E" w:rsidP="00A57A22">
      <w:pPr>
        <w:autoSpaceDE w:val="0"/>
        <w:autoSpaceDN w:val="0"/>
        <w:adjustRightInd w:val="0"/>
        <w:spacing w:after="0" w:line="226"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 p</w:t>
      </w:r>
      <w:r w:rsidR="008832DD">
        <w:rPr>
          <w:rFonts w:ascii="Times New Roman" w:hAnsi="Times New Roman" w:cs="Times New Roman"/>
          <w:b/>
          <w:bCs/>
          <w:color w:val="000000"/>
          <w:sz w:val="24"/>
          <w:szCs w:val="24"/>
        </w:rPr>
        <w:t>rogetto di distribuzione e riparto.</w:t>
      </w:r>
    </w:p>
    <w:p w:rsidR="00B40E41" w:rsidRDefault="00B40E41" w:rsidP="00A57A22">
      <w:pPr>
        <w:autoSpaceDE w:val="0"/>
        <w:autoSpaceDN w:val="0"/>
        <w:adjustRightInd w:val="0"/>
        <w:spacing w:after="0" w:line="226" w:lineRule="atLeast"/>
        <w:jc w:val="both"/>
        <w:rPr>
          <w:rFonts w:ascii="Times New Roman" w:hAnsi="Times New Roman" w:cs="Times New Roman"/>
          <w:b/>
          <w:bCs/>
          <w:color w:val="000000"/>
          <w:sz w:val="24"/>
          <w:szCs w:val="24"/>
        </w:rPr>
      </w:pP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 caso di riparti parziali il delegato procederà a ripartire non oltre il 90% del ricavato,</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trattenendo sul conto della procedura (e ciò anche in caso di svincolo del saldo prezzo in favore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del</w:t>
      </w:r>
      <w:proofErr w:type="gramEnd"/>
      <w:r>
        <w:rPr>
          <w:rFonts w:ascii="Times New Roman" w:hAnsi="Times New Roman" w:cs="Times New Roman"/>
          <w:color w:val="000000"/>
          <w:sz w:val="24"/>
          <w:szCs w:val="24"/>
        </w:rPr>
        <w:t xml:space="preserve"> creditore fondiario ex art. 41 TUB), le somme necessarie a soddisfare i crediti in</w:t>
      </w:r>
      <w:r w:rsidR="00B40E41">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prededuzione</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nel caso in cui la parte esecutata fosse stata dichiarata fallita e l’esecuzione non fosse stata</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dichiarata</w:t>
      </w:r>
      <w:proofErr w:type="gramEnd"/>
      <w:r>
        <w:rPr>
          <w:rFonts w:ascii="Times New Roman" w:hAnsi="Times New Roman" w:cs="Times New Roman"/>
          <w:color w:val="000000"/>
          <w:sz w:val="24"/>
          <w:szCs w:val="24"/>
        </w:rPr>
        <w:t xml:space="preserve"> improcedibile per la presenza del creditore fondiario, ad attribuire a quest’ultimo –</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sussistendone</w:t>
      </w:r>
      <w:proofErr w:type="gramEnd"/>
      <w:r>
        <w:rPr>
          <w:rFonts w:ascii="Times New Roman" w:hAnsi="Times New Roman" w:cs="Times New Roman"/>
          <w:color w:val="000000"/>
          <w:sz w:val="24"/>
          <w:szCs w:val="24"/>
        </w:rPr>
        <w:t xml:space="preserve"> i presupposti - il credito ipotecario calcolato ai sensi dell’art. 2855 c.c.,</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svincolando</w:t>
      </w:r>
      <w:proofErr w:type="gramEnd"/>
      <w:r>
        <w:rPr>
          <w:rFonts w:ascii="Times New Roman" w:hAnsi="Times New Roman" w:cs="Times New Roman"/>
          <w:color w:val="000000"/>
          <w:sz w:val="24"/>
          <w:szCs w:val="24"/>
        </w:rPr>
        <w:t xml:space="preserve"> il residuo della massa attiva in favore del fallimento, fatte salve le ragioni degli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eventuali</w:t>
      </w:r>
      <w:proofErr w:type="gramEnd"/>
      <w:r>
        <w:rPr>
          <w:rFonts w:ascii="Times New Roman" w:hAnsi="Times New Roman" w:cs="Times New Roman"/>
          <w:color w:val="000000"/>
          <w:sz w:val="24"/>
          <w:szCs w:val="24"/>
        </w:rPr>
        <w:t xml:space="preserve"> creditori intervenuti ai sensi dell’art. 511 </w:t>
      </w:r>
      <w:proofErr w:type="spellStart"/>
      <w:r>
        <w:rPr>
          <w:rFonts w:ascii="Times New Roman" w:hAnsi="Times New Roman" w:cs="Times New Roman"/>
          <w:color w:val="000000"/>
          <w:sz w:val="24"/>
          <w:szCs w:val="24"/>
        </w:rPr>
        <w:t>c.p.c.</w:t>
      </w:r>
      <w:proofErr w:type="spellEnd"/>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 richiedere al giudice l’emissione del </w:t>
      </w:r>
      <w:r>
        <w:rPr>
          <w:rFonts w:ascii="Times New Roman" w:hAnsi="Times New Roman" w:cs="Times New Roman"/>
          <w:b/>
          <w:bCs/>
          <w:color w:val="000000"/>
          <w:sz w:val="24"/>
          <w:szCs w:val="24"/>
        </w:rPr>
        <w:t xml:space="preserve">decreto di condanna </w:t>
      </w:r>
      <w:r>
        <w:rPr>
          <w:rFonts w:ascii="Times New Roman" w:hAnsi="Times New Roman" w:cs="Times New Roman"/>
          <w:color w:val="000000"/>
          <w:sz w:val="24"/>
          <w:szCs w:val="24"/>
        </w:rPr>
        <w:t>dell’aggiudicatario decaduto ex art.</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587 </w:t>
      </w:r>
      <w:proofErr w:type="spellStart"/>
      <w:r>
        <w:rPr>
          <w:rFonts w:ascii="Times New Roman" w:hAnsi="Times New Roman" w:cs="Times New Roman"/>
          <w:color w:val="000000"/>
          <w:sz w:val="24"/>
          <w:szCs w:val="24"/>
        </w:rPr>
        <w:t>c.p.c.</w:t>
      </w:r>
      <w:proofErr w:type="spellEnd"/>
      <w:r>
        <w:rPr>
          <w:rFonts w:ascii="Times New Roman" w:hAnsi="Times New Roman" w:cs="Times New Roman"/>
          <w:color w:val="000000"/>
          <w:sz w:val="24"/>
          <w:szCs w:val="24"/>
        </w:rPr>
        <w:t xml:space="preserve"> e 177 </w:t>
      </w:r>
      <w:proofErr w:type="spellStart"/>
      <w:r>
        <w:rPr>
          <w:rFonts w:ascii="Times New Roman" w:hAnsi="Times New Roman" w:cs="Times New Roman"/>
          <w:color w:val="000000"/>
          <w:sz w:val="24"/>
          <w:szCs w:val="24"/>
        </w:rPr>
        <w:t>disp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att</w:t>
      </w:r>
      <w:proofErr w:type="spellEnd"/>
      <w:r>
        <w:rPr>
          <w:rFonts w:ascii="Times New Roman" w:hAnsi="Times New Roman" w:cs="Times New Roman"/>
          <w:color w:val="000000"/>
          <w:sz w:val="24"/>
          <w:szCs w:val="24"/>
        </w:rPr>
        <w:t>. c. p.c. laddove, nel predisporre il progetto di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distribuzione, il delegato riscontrasse l’incapienza del ricavato per il soddisfacimento dei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creditori intervenuti; il credito in questione sarà attribuito ai creditori insoddisfatti,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eventualmente proporzionalmente, nel rispetto della graduazione dei crediti (es. soddisfatti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crediti in </w:t>
      </w:r>
      <w:proofErr w:type="spellStart"/>
      <w:r>
        <w:rPr>
          <w:rFonts w:ascii="Times New Roman" w:hAnsi="Times New Roman" w:cs="Times New Roman"/>
          <w:color w:val="000000"/>
          <w:sz w:val="24"/>
          <w:szCs w:val="24"/>
        </w:rPr>
        <w:t>prededuzione</w:t>
      </w:r>
      <w:proofErr w:type="spellEnd"/>
      <w:r>
        <w:rPr>
          <w:rFonts w:ascii="Times New Roman" w:hAnsi="Times New Roman" w:cs="Times New Roman"/>
          <w:color w:val="000000"/>
          <w:sz w:val="24"/>
          <w:szCs w:val="24"/>
        </w:rPr>
        <w:t xml:space="preserve"> e l’ipotecario, il credito andrà attribuito pro quota ai creditori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chirografari);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verificare sui conti della procedura tutte le somme facenti parte della massa attiva (cauzioni,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saldo</w:t>
      </w:r>
      <w:proofErr w:type="gramEnd"/>
      <w:r>
        <w:rPr>
          <w:rFonts w:ascii="Times New Roman" w:hAnsi="Times New Roman" w:cs="Times New Roman"/>
          <w:color w:val="000000"/>
          <w:sz w:val="24"/>
          <w:szCs w:val="24"/>
        </w:rPr>
        <w:t xml:space="preserve"> prezzo, canoni, indennità cauzioni confiscate, ratei conversione);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ad inviare alle parti bozza del progetto di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distribuzione e del piano di riparto, assegnando alle stesse termine di giorni 15 per le</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osservazioni;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depositare le bozze definitive con le eventuali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integrazioni, unitamente alle comunicazioni del progetto ed alle note relative alle cancellazioni</w:t>
      </w:r>
      <w:r w:rsidR="00A57A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delle formalità;</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A57A22">
        <w:rPr>
          <w:rFonts w:ascii="Times New Roman" w:hAnsi="Times New Roman" w:cs="Times New Roman"/>
          <w:color w:val="000000"/>
          <w:sz w:val="24"/>
          <w:szCs w:val="24"/>
          <w:u w:val="single"/>
        </w:rPr>
        <w:t>a presenziare all’udienza di discussione</w:t>
      </w:r>
      <w:r>
        <w:rPr>
          <w:rFonts w:ascii="Times New Roman" w:hAnsi="Times New Roman" w:cs="Times New Roman"/>
          <w:color w:val="000000"/>
          <w:sz w:val="24"/>
          <w:szCs w:val="24"/>
        </w:rPr>
        <w:t xml:space="preserve"> al fine di fornire al giudice i chiarimenti in ordine ai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criteri</w:t>
      </w:r>
      <w:proofErr w:type="gramEnd"/>
      <w:r>
        <w:rPr>
          <w:rFonts w:ascii="Times New Roman" w:hAnsi="Times New Roman" w:cs="Times New Roman"/>
          <w:color w:val="000000"/>
          <w:sz w:val="24"/>
          <w:szCs w:val="24"/>
        </w:rPr>
        <w:t xml:space="preserve"> seguiti per la quantificazione, graduazione o esclusione dei crediti nel progetto in</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questione;</w:t>
      </w:r>
    </w:p>
    <w:p w:rsidR="008832DD" w:rsidRDefault="008832DD" w:rsidP="00A57A22">
      <w:pPr>
        <w:autoSpaceDE w:val="0"/>
        <w:autoSpaceDN w:val="0"/>
        <w:adjustRightInd w:val="0"/>
        <w:spacing w:after="0" w:line="226" w:lineRule="atLeast"/>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negli</w:t>
      </w:r>
      <w:proofErr w:type="gramEnd"/>
      <w:r>
        <w:rPr>
          <w:rFonts w:ascii="Times New Roman" w:hAnsi="Times New Roman" w:cs="Times New Roman"/>
          <w:b/>
          <w:bCs/>
          <w:color w:val="000000"/>
          <w:sz w:val="24"/>
          <w:szCs w:val="24"/>
        </w:rPr>
        <w:t xml:space="preserve"> altri casi: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nel caso in cui l’esperimento di vendita non si sia tenuto per mancato rispetto degli adempimenti</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pubblicitari (diversi dal PVP) e di decadenza dell’aggiudicatario, a </w:t>
      </w:r>
      <w:proofErr w:type="spellStart"/>
      <w:r>
        <w:rPr>
          <w:rFonts w:ascii="Times New Roman" w:hAnsi="Times New Roman" w:cs="Times New Roman"/>
          <w:color w:val="000000"/>
          <w:sz w:val="24"/>
          <w:szCs w:val="24"/>
        </w:rPr>
        <w:t>rifissare</w:t>
      </w:r>
      <w:proofErr w:type="spellEnd"/>
      <w:r>
        <w:rPr>
          <w:rFonts w:ascii="Times New Roman" w:hAnsi="Times New Roman" w:cs="Times New Roman"/>
          <w:color w:val="000000"/>
          <w:sz w:val="24"/>
          <w:szCs w:val="24"/>
        </w:rPr>
        <w:t xml:space="preserve"> l’esperimento</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rinnovato alle stesse condizioni dell’esperimento non tenuto o precedente (prezzo base, offerta</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minima e termini per il deposito delle offerte);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nel caso di asta deserta, a </w:t>
      </w:r>
      <w:proofErr w:type="spellStart"/>
      <w:r>
        <w:rPr>
          <w:rFonts w:ascii="Times New Roman" w:hAnsi="Times New Roman" w:cs="Times New Roman"/>
          <w:color w:val="000000"/>
          <w:sz w:val="24"/>
          <w:szCs w:val="24"/>
        </w:rPr>
        <w:t>rifissare</w:t>
      </w:r>
      <w:proofErr w:type="spellEnd"/>
      <w:r>
        <w:rPr>
          <w:rFonts w:ascii="Times New Roman" w:hAnsi="Times New Roman" w:cs="Times New Roman"/>
          <w:color w:val="000000"/>
          <w:sz w:val="24"/>
          <w:szCs w:val="24"/>
        </w:rPr>
        <w:t xml:space="preserve"> immediatamente il nuovo esperimento con le riduzioni dei</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termini</w:t>
      </w:r>
      <w:proofErr w:type="gramEnd"/>
      <w:r>
        <w:rPr>
          <w:rFonts w:ascii="Times New Roman" w:hAnsi="Times New Roman" w:cs="Times New Roman"/>
          <w:color w:val="000000"/>
          <w:sz w:val="24"/>
          <w:szCs w:val="24"/>
        </w:rPr>
        <w:t xml:space="preserve"> per le offerte (</w:t>
      </w:r>
      <w:r w:rsidRPr="001D6544">
        <w:rPr>
          <w:rFonts w:ascii="Times New Roman" w:hAnsi="Times New Roman" w:cs="Times New Roman"/>
          <w:color w:val="000000"/>
          <w:sz w:val="24"/>
          <w:szCs w:val="24"/>
          <w:highlight w:val="yellow"/>
        </w:rPr>
        <w:t>60-90</w:t>
      </w:r>
      <w:r w:rsidR="001D6544">
        <w:rPr>
          <w:rFonts w:ascii="Times New Roman" w:hAnsi="Times New Roman" w:cs="Times New Roman"/>
          <w:color w:val="000000"/>
          <w:sz w:val="24"/>
          <w:szCs w:val="24"/>
        </w:rPr>
        <w:t xml:space="preserve"> (</w:t>
      </w:r>
      <w:r w:rsidR="001D6544" w:rsidRPr="001D6544">
        <w:rPr>
          <w:rFonts w:ascii="Times New Roman" w:hAnsi="Times New Roman" w:cs="Times New Roman"/>
          <w:color w:val="000000"/>
          <w:sz w:val="24"/>
          <w:szCs w:val="24"/>
          <w:highlight w:val="green"/>
        </w:rPr>
        <w:t>90-120 in ordinan</w:t>
      </w:r>
      <w:bookmarkStart w:id="0" w:name="_GoBack"/>
      <w:bookmarkEnd w:id="0"/>
      <w:r w:rsidR="001D6544" w:rsidRPr="001D6544">
        <w:rPr>
          <w:rFonts w:ascii="Times New Roman" w:hAnsi="Times New Roman" w:cs="Times New Roman"/>
          <w:color w:val="000000"/>
          <w:sz w:val="24"/>
          <w:szCs w:val="24"/>
          <w:highlight w:val="green"/>
        </w:rPr>
        <w:t>za</w:t>
      </w:r>
      <w:r w:rsidR="001D6544">
        <w:rPr>
          <w:rFonts w:ascii="Times New Roman" w:hAnsi="Times New Roman" w:cs="Times New Roman"/>
          <w:color w:val="000000"/>
          <w:sz w:val="24"/>
          <w:szCs w:val="24"/>
        </w:rPr>
        <w:t>)</w:t>
      </w:r>
      <w:r>
        <w:rPr>
          <w:rFonts w:ascii="Times New Roman" w:hAnsi="Times New Roman" w:cs="Times New Roman"/>
          <w:color w:val="000000"/>
          <w:sz w:val="24"/>
          <w:szCs w:val="24"/>
        </w:rPr>
        <w:t xml:space="preserve"> giorni prima dell’esperimento) e del valore d’</w:t>
      </w:r>
      <w:r w:rsidR="00A57A22">
        <w:rPr>
          <w:rFonts w:ascii="Times New Roman" w:hAnsi="Times New Roman" w:cs="Times New Roman"/>
          <w:color w:val="000000"/>
          <w:sz w:val="24"/>
          <w:szCs w:val="24"/>
        </w:rPr>
        <w:t xml:space="preserve">asta </w:t>
      </w:r>
      <w:r>
        <w:rPr>
          <w:rFonts w:ascii="Times New Roman" w:hAnsi="Times New Roman" w:cs="Times New Roman"/>
          <w:color w:val="000000"/>
          <w:sz w:val="24"/>
          <w:szCs w:val="24"/>
        </w:rPr>
        <w:t>ridotto come previsto nell’ordinanza di</w:t>
      </w:r>
      <w:r w:rsidR="00B40E41">
        <w:rPr>
          <w:rFonts w:ascii="Times New Roman" w:hAnsi="Times New Roman" w:cs="Times New Roman"/>
          <w:color w:val="000000"/>
          <w:sz w:val="24"/>
          <w:szCs w:val="24"/>
        </w:rPr>
        <w:t xml:space="preserve"> </w:t>
      </w:r>
      <w:r w:rsidR="00A57A22">
        <w:rPr>
          <w:rFonts w:ascii="Times New Roman" w:hAnsi="Times New Roman" w:cs="Times New Roman"/>
          <w:color w:val="000000"/>
          <w:sz w:val="24"/>
          <w:szCs w:val="24"/>
        </w:rPr>
        <w:t>delega</w:t>
      </w:r>
      <w:r>
        <w:rPr>
          <w:rFonts w:ascii="Times New Roman" w:hAnsi="Times New Roman" w:cs="Times New Roman"/>
          <w:color w:val="000000"/>
          <w:sz w:val="24"/>
          <w:szCs w:val="24"/>
        </w:rPr>
        <w:t>;</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 rimettere gli atti al giudice in caso di esito negati</w:t>
      </w:r>
      <w:r w:rsidR="00A57A22">
        <w:rPr>
          <w:rFonts w:ascii="Times New Roman" w:hAnsi="Times New Roman" w:cs="Times New Roman"/>
          <w:color w:val="000000"/>
          <w:sz w:val="24"/>
          <w:szCs w:val="24"/>
        </w:rPr>
        <w:t>vo anche del quinto esperimento</w:t>
      </w:r>
      <w:r>
        <w:rPr>
          <w:rFonts w:ascii="Times New Roman" w:hAnsi="Times New Roman" w:cs="Times New Roman"/>
          <w:color w:val="000000"/>
          <w:sz w:val="24"/>
          <w:szCs w:val="24"/>
        </w:rPr>
        <w:t>, unitamente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relazione motivata delle attività svolte e dei motivi che potrebbero aver ostacolato</w:t>
      </w:r>
      <w:r w:rsidR="00B40E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l’aggiudicazione o l’assegnazione; sollecitando il custode a relazionare sullo stato del cespite,</w:t>
      </w:r>
    </w:p>
    <w:p w:rsidR="008832DD" w:rsidRDefault="008832DD" w:rsidP="00A57A22">
      <w:pPr>
        <w:autoSpaceDE w:val="0"/>
        <w:autoSpaceDN w:val="0"/>
        <w:adjustRightInd w:val="0"/>
        <w:spacing w:after="0" w:line="226" w:lineRule="atLeas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sulle</w:t>
      </w:r>
      <w:proofErr w:type="gramEnd"/>
      <w:r>
        <w:rPr>
          <w:rFonts w:ascii="Times New Roman" w:hAnsi="Times New Roman" w:cs="Times New Roman"/>
          <w:color w:val="000000"/>
          <w:sz w:val="24"/>
          <w:szCs w:val="24"/>
        </w:rPr>
        <w:t xml:space="preserve"> visite effettuate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8479CD" w:rsidRDefault="008479CD" w:rsidP="00A57A22">
      <w:pPr>
        <w:autoSpaceDE w:val="0"/>
        <w:autoSpaceDN w:val="0"/>
        <w:adjustRightInd w:val="0"/>
        <w:spacing w:after="0" w:line="226" w:lineRule="atLeast"/>
        <w:jc w:val="both"/>
        <w:rPr>
          <w:rFonts w:ascii="Times New Roman" w:hAnsi="Times New Roman" w:cs="Times New Roman"/>
          <w:color w:val="000000"/>
          <w:sz w:val="24"/>
          <w:szCs w:val="24"/>
        </w:rPr>
      </w:pPr>
    </w:p>
    <w:p w:rsidR="00B40E41" w:rsidRDefault="00B40E41" w:rsidP="00A57A22">
      <w:pPr>
        <w:autoSpaceDE w:val="0"/>
        <w:autoSpaceDN w:val="0"/>
        <w:adjustRightInd w:val="0"/>
        <w:spacing w:after="0" w:line="226" w:lineRule="atLeast"/>
        <w:jc w:val="both"/>
        <w:rPr>
          <w:rFonts w:ascii="Times New Roman" w:hAnsi="Times New Roman" w:cs="Times New Roman"/>
          <w:color w:val="000000"/>
          <w:sz w:val="24"/>
          <w:szCs w:val="24"/>
        </w:rPr>
      </w:pPr>
    </w:p>
    <w:p w:rsidR="00B40E41" w:rsidRPr="00A57A22" w:rsidRDefault="00B40E41" w:rsidP="00A57A22">
      <w:pPr>
        <w:spacing w:line="226" w:lineRule="atLeast"/>
        <w:jc w:val="center"/>
        <w:rPr>
          <w:rFonts w:ascii="Times New Roman" w:hAnsi="Times New Roman" w:cs="Times New Roman"/>
          <w:b/>
          <w:iCs/>
          <w:sz w:val="24"/>
          <w:szCs w:val="24"/>
          <w:u w:val="single"/>
        </w:rPr>
      </w:pPr>
      <w:r w:rsidRPr="00A57A22">
        <w:rPr>
          <w:rFonts w:ascii="Times New Roman" w:hAnsi="Times New Roman" w:cs="Times New Roman"/>
          <w:b/>
          <w:iCs/>
          <w:sz w:val="24"/>
          <w:szCs w:val="24"/>
          <w:u w:val="single"/>
        </w:rPr>
        <w:t>ISTRUZIONI PER LA REDAZIONE DEI PROGETTI DI DISTRIBUZIONE</w:t>
      </w:r>
    </w:p>
    <w:p w:rsidR="00B40E41" w:rsidRPr="00A57A22" w:rsidRDefault="00B40E41" w:rsidP="00A57A22">
      <w:pPr>
        <w:pStyle w:val="Stilenuovo"/>
        <w:spacing w:line="226" w:lineRule="atLeast"/>
        <w:rPr>
          <w:color w:val="000000"/>
          <w:szCs w:val="24"/>
        </w:rPr>
      </w:pPr>
    </w:p>
    <w:p w:rsidR="00B40E41" w:rsidRPr="00A57A22" w:rsidRDefault="00B40E41" w:rsidP="00A57A22">
      <w:pPr>
        <w:spacing w:line="226" w:lineRule="atLeast"/>
        <w:contextualSpacing/>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Si invitano i professionisti delegati ad attenersi, nella redazione della bozza del progetto di distribuzione, alle seguenti indicazioni.</w:t>
      </w:r>
    </w:p>
    <w:p w:rsidR="00B40E41" w:rsidRPr="00A57A22" w:rsidRDefault="00B40E41" w:rsidP="00A57A22">
      <w:pPr>
        <w:spacing w:line="226" w:lineRule="atLeast"/>
        <w:contextualSpacing/>
        <w:jc w:val="both"/>
        <w:rPr>
          <w:rFonts w:ascii="Times New Roman" w:hAnsi="Times New Roman" w:cs="Times New Roman"/>
          <w:color w:val="000000"/>
          <w:sz w:val="24"/>
          <w:szCs w:val="24"/>
        </w:rPr>
      </w:pPr>
    </w:p>
    <w:p w:rsidR="00B40E41" w:rsidRPr="00A57A22" w:rsidRDefault="00B40E41" w:rsidP="00A57A22">
      <w:pPr>
        <w:spacing w:line="226" w:lineRule="atLeast"/>
        <w:contextualSpacing/>
        <w:jc w:val="both"/>
        <w:rPr>
          <w:rFonts w:ascii="Times New Roman" w:hAnsi="Times New Roman" w:cs="Times New Roman"/>
          <w:b/>
          <w:color w:val="000000"/>
          <w:sz w:val="24"/>
          <w:szCs w:val="24"/>
        </w:rPr>
      </w:pPr>
      <w:r w:rsidRPr="00A57A22">
        <w:rPr>
          <w:rFonts w:ascii="Times New Roman" w:hAnsi="Times New Roman" w:cs="Times New Roman"/>
          <w:b/>
          <w:color w:val="000000"/>
          <w:sz w:val="24"/>
          <w:szCs w:val="24"/>
        </w:rPr>
        <w:t>INDIVIDUAZIONE DELLE MASSE</w:t>
      </w:r>
    </w:p>
    <w:p w:rsidR="00B40E41" w:rsidRPr="00A57A22" w:rsidRDefault="00B40E41" w:rsidP="00A57A22">
      <w:pPr>
        <w:spacing w:line="226" w:lineRule="atLeast"/>
        <w:contextualSpacing/>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Se vi sono più immobili nella medesima procedura (o perché vi sia stato all’origine un unico pignoramento su più beni, o perché siano state riunite più procedure), è necessario preliminarmente individuare le singole masse su cui l’unico o i più creditori intervenuti nella procedura dovranno essere soddisfatti.</w:t>
      </w:r>
    </w:p>
    <w:p w:rsidR="00B40E41" w:rsidRPr="00A57A22" w:rsidRDefault="00B40E41" w:rsidP="00A57A22">
      <w:pPr>
        <w:spacing w:line="226" w:lineRule="atLeast"/>
        <w:contextualSpacing/>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lastRenderedPageBreak/>
        <w:t xml:space="preserve">A tal fine è, in linea di massima, opportuno considerare come singola massa l’importo ricavato dalla vendita di ogni singolo bene (1 immobile = 1 massa). E’ tuttavia possibile accorpare in una unica massa quei beni su cui concorrano i medesimi crediti (per numero e qualità). </w:t>
      </w:r>
    </w:p>
    <w:p w:rsidR="00B40E41" w:rsidRPr="00A57A22" w:rsidRDefault="00B40E41" w:rsidP="00A57A22">
      <w:pPr>
        <w:spacing w:line="226" w:lineRule="atLeast"/>
        <w:contextualSpacing/>
        <w:jc w:val="both"/>
        <w:rPr>
          <w:rFonts w:ascii="Times New Roman" w:hAnsi="Times New Roman" w:cs="Times New Roman"/>
          <w:i/>
          <w:color w:val="000000"/>
          <w:sz w:val="24"/>
          <w:szCs w:val="24"/>
        </w:rPr>
      </w:pPr>
      <w:r w:rsidRPr="00A57A22">
        <w:rPr>
          <w:rFonts w:ascii="Times New Roman" w:hAnsi="Times New Roman" w:cs="Times New Roman"/>
          <w:i/>
          <w:color w:val="000000"/>
          <w:sz w:val="24"/>
          <w:szCs w:val="24"/>
        </w:rPr>
        <w:t>Es. Tizio, Caio e Sempronio concorrono con un privilegio speciale sul bene A; concorrono inoltre in via chirografaria sul bene B; Tizio e Caio (ma non Sempronio) hanno anche un credito chirografario sul bene C. Le masse sono due: bene A+B e bene C</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Per individuare quali creditori concorrano sui diversi beni occorre far riferimento al pignoramento e agli atti di intervento. Mentre il pignoramento indica sempre un determinato bene, molto spesso l’atto di intervento non contiene alcuna indicazione al riguardo. In tal caso si considererà l’intervento come relativo ai ricavi di tutti i beni presenti nella procedura al momento dell’intervento, salvo l’ordine dato dalle cause di prelazione.</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 xml:space="preserve">In caso di </w:t>
      </w:r>
      <w:r w:rsidRPr="00A57A22">
        <w:rPr>
          <w:rFonts w:ascii="Times New Roman" w:hAnsi="Times New Roman" w:cs="Times New Roman"/>
          <w:color w:val="000000"/>
          <w:sz w:val="24"/>
          <w:szCs w:val="24"/>
          <w:u w:val="single"/>
        </w:rPr>
        <w:t>riunione</w:t>
      </w:r>
      <w:r w:rsidRPr="00A57A22">
        <w:rPr>
          <w:rFonts w:ascii="Times New Roman" w:hAnsi="Times New Roman" w:cs="Times New Roman"/>
          <w:color w:val="000000"/>
          <w:sz w:val="24"/>
          <w:szCs w:val="24"/>
        </w:rPr>
        <w:t xml:space="preserve"> di procedure, né i pignoramenti né gli interventi presenti al momento della riunione in una delle due procedure si estendono a beni dell’altra procedura che non siano comuni alle due esecuzioni.</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 xml:space="preserve">Pertanto, i creditori pignoranti o intervenuti della prima procedura, per poter concorrere anche sui beni non compresi nella procedura originaria, devono, se lo ritengono, fare formale atto di intervento, chiedendo di partecipare alla distribuzione del ricavato di quei beni; essi saranno considerati intervenienti tempestivi o tardivi ai fini del riparto del ricavo di quei beni a seconda della fase in cui avranno depositato tale atto. </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Gli interventi successivi alla riunione, invece, salva diversa indicazione, sono validi per partecipare alla distribuzione del ricavo di ogni bene presente nelle procedure riunite.</w:t>
      </w:r>
    </w:p>
    <w:p w:rsidR="00B40E41" w:rsidRPr="00A57A22" w:rsidRDefault="00B40E41" w:rsidP="00A57A22">
      <w:pPr>
        <w:spacing w:line="226" w:lineRule="atLeast"/>
        <w:jc w:val="both"/>
        <w:rPr>
          <w:rFonts w:ascii="Times New Roman" w:hAnsi="Times New Roman" w:cs="Times New Roman"/>
          <w:color w:val="000000"/>
          <w:sz w:val="24"/>
          <w:szCs w:val="24"/>
        </w:rPr>
      </w:pPr>
    </w:p>
    <w:p w:rsidR="00B40E41" w:rsidRPr="00A57A22" w:rsidRDefault="00B40E41" w:rsidP="00A57A22">
      <w:pPr>
        <w:spacing w:line="226" w:lineRule="atLeast"/>
        <w:jc w:val="both"/>
        <w:rPr>
          <w:rFonts w:ascii="Times New Roman" w:hAnsi="Times New Roman" w:cs="Times New Roman"/>
          <w:b/>
          <w:color w:val="000000"/>
          <w:sz w:val="24"/>
          <w:szCs w:val="24"/>
        </w:rPr>
      </w:pPr>
      <w:r w:rsidRPr="00A57A22">
        <w:rPr>
          <w:rFonts w:ascii="Times New Roman" w:hAnsi="Times New Roman" w:cs="Times New Roman"/>
          <w:b/>
          <w:color w:val="000000"/>
          <w:sz w:val="24"/>
          <w:szCs w:val="24"/>
        </w:rPr>
        <w:t>DETERMINAZIONE DELLE SOMME RICAVATE DAI BENI DELLA MASSA</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Per determinare l’</w:t>
      </w:r>
      <w:r w:rsidRPr="00A57A22">
        <w:rPr>
          <w:rFonts w:ascii="Times New Roman" w:hAnsi="Times New Roman" w:cs="Times New Roman"/>
          <w:color w:val="000000"/>
          <w:sz w:val="24"/>
          <w:szCs w:val="24"/>
          <w:u w:val="single"/>
        </w:rPr>
        <w:t>esatto ammontare della massa attiva</w:t>
      </w:r>
      <w:r w:rsidRPr="00A57A22">
        <w:rPr>
          <w:rFonts w:ascii="Times New Roman" w:hAnsi="Times New Roman" w:cs="Times New Roman"/>
          <w:color w:val="000000"/>
          <w:sz w:val="24"/>
          <w:szCs w:val="24"/>
        </w:rPr>
        <w:t xml:space="preserve">, si deve considerare il prezzo di aggiudicazione (quale risultante dal verbale di vendita e dal decreto di trasferimento), gli interessi eventualmente maturati, i canoni o le indennità di occupazione percepite e depositate dal custode giudiziale derivanti dall’amministrazione del bene pignorato, le somme acquisite ex art. 495 </w:t>
      </w:r>
      <w:proofErr w:type="spellStart"/>
      <w:r w:rsidRPr="00A57A22">
        <w:rPr>
          <w:rFonts w:ascii="Times New Roman" w:hAnsi="Times New Roman" w:cs="Times New Roman"/>
          <w:color w:val="000000"/>
          <w:sz w:val="24"/>
          <w:szCs w:val="24"/>
        </w:rPr>
        <w:t>c.p.c.</w:t>
      </w:r>
      <w:proofErr w:type="spellEnd"/>
      <w:r w:rsidRPr="00A57A22">
        <w:rPr>
          <w:rFonts w:ascii="Times New Roman" w:hAnsi="Times New Roman" w:cs="Times New Roman"/>
          <w:color w:val="000000"/>
          <w:sz w:val="24"/>
          <w:szCs w:val="24"/>
        </w:rPr>
        <w:t xml:space="preserve"> o confiscate ex art. 587 </w:t>
      </w:r>
      <w:proofErr w:type="spellStart"/>
      <w:r w:rsidRPr="00A57A22">
        <w:rPr>
          <w:rFonts w:ascii="Times New Roman" w:hAnsi="Times New Roman" w:cs="Times New Roman"/>
          <w:color w:val="000000"/>
          <w:sz w:val="24"/>
          <w:szCs w:val="24"/>
        </w:rPr>
        <w:t>c.p.c.</w:t>
      </w:r>
      <w:proofErr w:type="spellEnd"/>
      <w:r w:rsidRPr="00A57A22">
        <w:rPr>
          <w:rFonts w:ascii="Times New Roman" w:hAnsi="Times New Roman" w:cs="Times New Roman"/>
          <w:color w:val="000000"/>
          <w:sz w:val="24"/>
          <w:szCs w:val="24"/>
        </w:rPr>
        <w:t>, ecc.).</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color w:val="000000"/>
          <w:sz w:val="24"/>
          <w:szCs w:val="24"/>
        </w:rPr>
        <w:t xml:space="preserve">Qualora il custode non abbia ancora reso il conto finale della gestione, il delegato dovrà provvedere a sollecitarne il deposito allegandolo al progetto di distribuzione. </w:t>
      </w:r>
    </w:p>
    <w:p w:rsidR="00B40E41" w:rsidRPr="00A57A22" w:rsidRDefault="00B40E41" w:rsidP="00A57A22">
      <w:pPr>
        <w:spacing w:line="226" w:lineRule="atLeast"/>
        <w:jc w:val="both"/>
        <w:rPr>
          <w:rFonts w:ascii="Times New Roman" w:hAnsi="Times New Roman" w:cs="Times New Roman"/>
          <w:color w:val="000000"/>
          <w:sz w:val="24"/>
          <w:szCs w:val="24"/>
        </w:rPr>
      </w:pPr>
      <w:r w:rsidRPr="00A57A22">
        <w:rPr>
          <w:rFonts w:ascii="Times New Roman" w:hAnsi="Times New Roman" w:cs="Times New Roman"/>
          <w:b/>
          <w:color w:val="000000"/>
          <w:sz w:val="24"/>
          <w:szCs w:val="24"/>
        </w:rPr>
        <w:t>N.B</w:t>
      </w:r>
      <w:r w:rsidRPr="00A57A22">
        <w:rPr>
          <w:rFonts w:ascii="Times New Roman" w:hAnsi="Times New Roman" w:cs="Times New Roman"/>
          <w:color w:val="000000"/>
          <w:sz w:val="24"/>
          <w:szCs w:val="24"/>
        </w:rPr>
        <w:t xml:space="preserve">. </w:t>
      </w:r>
      <w:r w:rsidRPr="00A57A22">
        <w:rPr>
          <w:rFonts w:ascii="Times New Roman" w:hAnsi="Times New Roman" w:cs="Times New Roman"/>
          <w:color w:val="000000"/>
          <w:sz w:val="24"/>
          <w:szCs w:val="24"/>
          <w:u w:val="single"/>
        </w:rPr>
        <w:t>Nel computo devono essere valutate anche le somme eventualmente già corrisposte dall’aggiudicatario, ai sensi dell’art. 41 T.U. Legge Bancaria, agli istituti di credito fondiario</w:t>
      </w:r>
      <w:r w:rsidRPr="00A57A22">
        <w:rPr>
          <w:rFonts w:ascii="Times New Roman" w:hAnsi="Times New Roman" w:cs="Times New Roman"/>
          <w:color w:val="000000"/>
          <w:sz w:val="24"/>
          <w:szCs w:val="24"/>
        </w:rPr>
        <w:t>.</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b/>
          <w:sz w:val="24"/>
          <w:szCs w:val="24"/>
        </w:rPr>
      </w:pPr>
      <w:r w:rsidRPr="00A57A22">
        <w:rPr>
          <w:rFonts w:ascii="Times New Roman" w:hAnsi="Times New Roman" w:cs="Times New Roman"/>
          <w:b/>
          <w:sz w:val="24"/>
          <w:szCs w:val="24"/>
        </w:rPr>
        <w:t>DETRAZIONE DELLE SPESE DI GIUSTIZIA ASSISTITE DAL PRIVILEGIO EX ART. 2770 C.C.</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Dall’attivo così calcolato il delegato dovrà detrarre le spese per atti conservativi o di esecuzione sostenute nel giudizio di esecuzione in corso, le quali sono in genere anticipate dal creditore o dall’aggiudicatario e non ancora rimborsate.</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 xml:space="preserve">Tali spese sono qualificabili come spese “in </w:t>
      </w:r>
      <w:proofErr w:type="spellStart"/>
      <w:r w:rsidRPr="00A57A22">
        <w:rPr>
          <w:rFonts w:ascii="Times New Roman" w:hAnsi="Times New Roman" w:cs="Times New Roman"/>
          <w:sz w:val="24"/>
          <w:szCs w:val="24"/>
        </w:rPr>
        <w:t>prededuzione</w:t>
      </w:r>
      <w:proofErr w:type="spellEnd"/>
      <w:r w:rsidRPr="00A57A22">
        <w:rPr>
          <w:rFonts w:ascii="Times New Roman" w:hAnsi="Times New Roman" w:cs="Times New Roman"/>
          <w:sz w:val="24"/>
          <w:szCs w:val="24"/>
        </w:rPr>
        <w:t xml:space="preserve">” in quanto erogate direttamente dalla procedura a mezzo ordine di pagamento anche anteriore all’approvazione del progetto di distribuzione. Se invece le spese per le medesime attività sono anticipate dai creditori, </w:t>
      </w:r>
      <w:r w:rsidRPr="00A57A22">
        <w:rPr>
          <w:rFonts w:ascii="Times New Roman" w:hAnsi="Times New Roman" w:cs="Times New Roman"/>
          <w:sz w:val="24"/>
          <w:szCs w:val="24"/>
        </w:rPr>
        <w:lastRenderedPageBreak/>
        <w:t>procedenti o intervenuti che siano, le stesse devono essere esposte nelle note di precisazione del credito e collocate in privilegio ex art. 2770 c.c.</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Devono essere spese che abbiano avvantaggiato non solo chi le ha sostenute ma anche gli altri creditori. Il privilegio spetta anche se chi ha erogato tali oneri è un creditore chirografario.</w:t>
      </w:r>
    </w:p>
    <w:p w:rsidR="00B40E41" w:rsidRPr="00A57A22" w:rsidRDefault="00B40E41" w:rsidP="00A57A22">
      <w:pPr>
        <w:spacing w:line="226" w:lineRule="atLeast"/>
        <w:rPr>
          <w:rFonts w:ascii="Times New Roman" w:hAnsi="Times New Roman" w:cs="Times New Roman"/>
          <w:sz w:val="24"/>
          <w:szCs w:val="24"/>
        </w:rPr>
      </w:pPr>
      <w:r w:rsidRPr="00A57A22">
        <w:rPr>
          <w:rFonts w:ascii="Times New Roman" w:hAnsi="Times New Roman" w:cs="Times New Roman"/>
          <w:sz w:val="24"/>
          <w:szCs w:val="24"/>
        </w:rPr>
        <w:t>Sono comprese in queste spese:</w:t>
      </w:r>
    </w:p>
    <w:p w:rsidR="00BE388C" w:rsidRDefault="00B40E41" w:rsidP="00BE388C">
      <w:pPr>
        <w:pStyle w:val="Paragrafoelenco"/>
        <w:numPr>
          <w:ilvl w:val="0"/>
          <w:numId w:val="5"/>
        </w:numPr>
        <w:spacing w:line="226" w:lineRule="atLeast"/>
        <w:jc w:val="both"/>
        <w:rPr>
          <w:sz w:val="24"/>
          <w:szCs w:val="24"/>
        </w:rPr>
      </w:pPr>
      <w:proofErr w:type="gramStart"/>
      <w:r w:rsidRPr="00A57A22">
        <w:rPr>
          <w:sz w:val="24"/>
          <w:szCs w:val="24"/>
        </w:rPr>
        <w:t>il</w:t>
      </w:r>
      <w:proofErr w:type="gramEnd"/>
      <w:r w:rsidRPr="00A57A22">
        <w:rPr>
          <w:sz w:val="24"/>
          <w:szCs w:val="24"/>
        </w:rPr>
        <w:t xml:space="preserve"> contributo unificato per l’iscrizione a ruolo </w:t>
      </w:r>
    </w:p>
    <w:p w:rsidR="00544E80" w:rsidRPr="00BE388C" w:rsidRDefault="00544E80" w:rsidP="00BE388C">
      <w:pPr>
        <w:pStyle w:val="Paragrafoelenco"/>
        <w:numPr>
          <w:ilvl w:val="0"/>
          <w:numId w:val="5"/>
        </w:numPr>
        <w:spacing w:line="226" w:lineRule="atLeast"/>
        <w:jc w:val="both"/>
        <w:rPr>
          <w:sz w:val="24"/>
          <w:szCs w:val="24"/>
        </w:rPr>
      </w:pPr>
      <w:proofErr w:type="gramStart"/>
      <w:r w:rsidRPr="00BE388C">
        <w:rPr>
          <w:sz w:val="24"/>
          <w:szCs w:val="24"/>
        </w:rPr>
        <w:t>le</w:t>
      </w:r>
      <w:proofErr w:type="gramEnd"/>
      <w:r w:rsidRPr="00BE388C">
        <w:rPr>
          <w:sz w:val="24"/>
          <w:szCs w:val="24"/>
        </w:rPr>
        <w:t xml:space="preserve"> spese per il precetto </w:t>
      </w:r>
      <w:r w:rsidR="00375961" w:rsidRPr="00BE388C">
        <w:rPr>
          <w:sz w:val="24"/>
          <w:szCs w:val="24"/>
        </w:rPr>
        <w:t xml:space="preserve">(spese notifica di un solo </w:t>
      </w:r>
      <w:r w:rsidR="00BE388C" w:rsidRPr="00BE388C">
        <w:rPr>
          <w:sz w:val="24"/>
          <w:szCs w:val="24"/>
        </w:rPr>
        <w:t>atto</w:t>
      </w:r>
      <w:r w:rsidR="00375961" w:rsidRPr="00BE388C">
        <w:rPr>
          <w:sz w:val="24"/>
          <w:szCs w:val="24"/>
        </w:rPr>
        <w:t xml:space="preserve">; spese legali secondo i </w:t>
      </w:r>
      <w:r w:rsidR="00375961" w:rsidRPr="00BE388C">
        <w:rPr>
          <w:sz w:val="24"/>
          <w:szCs w:val="24"/>
          <w:u w:val="single"/>
        </w:rPr>
        <w:t>valori medi di liquidazione</w:t>
      </w:r>
      <w:r w:rsidR="00375961" w:rsidRPr="00BE388C">
        <w:rPr>
          <w:sz w:val="24"/>
          <w:szCs w:val="24"/>
        </w:rPr>
        <w:t xml:space="preserve"> stabiliti dal D.M. 55/2014);</w:t>
      </w:r>
    </w:p>
    <w:p w:rsidR="00B40E41" w:rsidRPr="00A57A22" w:rsidRDefault="00B40E41" w:rsidP="00A57A22">
      <w:pPr>
        <w:pStyle w:val="Paragrafoelenco"/>
        <w:numPr>
          <w:ilvl w:val="0"/>
          <w:numId w:val="1"/>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notifica e la trascrizione del pignoramento</w:t>
      </w:r>
    </w:p>
    <w:p w:rsidR="00B40E41" w:rsidRPr="00A57A22" w:rsidRDefault="00B40E41" w:rsidP="00A57A22">
      <w:pPr>
        <w:pStyle w:val="Paragrafoelenco"/>
        <w:numPr>
          <w:ilvl w:val="0"/>
          <w:numId w:val="1"/>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certificazione </w:t>
      </w:r>
      <w:proofErr w:type="spellStart"/>
      <w:r w:rsidRPr="00A57A22">
        <w:rPr>
          <w:sz w:val="24"/>
          <w:szCs w:val="24"/>
        </w:rPr>
        <w:t>ipocatastale</w:t>
      </w:r>
      <w:proofErr w:type="spellEnd"/>
      <w:r w:rsidRPr="00A57A22">
        <w:rPr>
          <w:sz w:val="24"/>
          <w:szCs w:val="24"/>
        </w:rPr>
        <w:t xml:space="preserve"> o notarile sostitutiva</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di custodia e l’onorario del custode</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stima e l’onorario dell’esperto stimatore</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l’onorario</w:t>
      </w:r>
      <w:proofErr w:type="gramEnd"/>
      <w:r w:rsidRPr="00A57A22">
        <w:rPr>
          <w:sz w:val="24"/>
          <w:szCs w:val="24"/>
        </w:rPr>
        <w:t xml:space="preserve"> del delegato</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imposte collegate agli atti della procedura (registro, iva in caso di bene strumentale, ecc.)</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cancellazione delle ipoteche già iscritte sul bene, dopo la vendita</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eventuali spese di tenuta e chiusura del conto corrente della procedura</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pubblicità</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eventuali spese di manutenzione e conservazione del bene, nonché le spese straordinarie condominiali, soltanto ove il custode sia stato espressamente autorizzato a sostenerle, quali “costi di gestione” dell’immobile pignorato</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 regolarizzazione edilizio-urbanistica degli immobili </w:t>
      </w:r>
    </w:p>
    <w:p w:rsidR="00B40E41" w:rsidRPr="00A57A22" w:rsidRDefault="00B40E41" w:rsidP="00A57A22">
      <w:pPr>
        <w:pStyle w:val="Paragrafoelenco"/>
        <w:numPr>
          <w:ilvl w:val="0"/>
          <w:numId w:val="5"/>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relative ai processi esecutivi sostenute dall’erario per effetto dell’ammissione del creditore al gratuito patrocinio a spese dello stato (art. 135 co. 2 D.P.R. 30.5.2002 n. 115)</w:t>
      </w:r>
    </w:p>
    <w:p w:rsidR="00B40E41" w:rsidRPr="00544E80" w:rsidRDefault="00B40E41" w:rsidP="00A57A22">
      <w:pPr>
        <w:pStyle w:val="Paragrafoelenco"/>
        <w:numPr>
          <w:ilvl w:val="0"/>
          <w:numId w:val="1"/>
        </w:numPr>
        <w:spacing w:line="226" w:lineRule="atLeast"/>
        <w:jc w:val="both"/>
        <w:rPr>
          <w:sz w:val="24"/>
          <w:szCs w:val="24"/>
        </w:rPr>
      </w:pPr>
      <w:proofErr w:type="gramStart"/>
      <w:r w:rsidRPr="00544E80">
        <w:rPr>
          <w:sz w:val="24"/>
          <w:szCs w:val="24"/>
        </w:rPr>
        <w:t>le</w:t>
      </w:r>
      <w:proofErr w:type="gramEnd"/>
      <w:r w:rsidRPr="00544E80">
        <w:rPr>
          <w:sz w:val="24"/>
          <w:szCs w:val="24"/>
        </w:rPr>
        <w:t xml:space="preserve"> spese per giudizi di surrogazione (art. 2900 c.c.)</w:t>
      </w:r>
    </w:p>
    <w:p w:rsidR="00B40E41" w:rsidRPr="00544E80" w:rsidRDefault="00B40E41" w:rsidP="00A57A22">
      <w:pPr>
        <w:pStyle w:val="Paragrafoelenco"/>
        <w:numPr>
          <w:ilvl w:val="0"/>
          <w:numId w:val="1"/>
        </w:numPr>
        <w:spacing w:line="226" w:lineRule="atLeast"/>
        <w:jc w:val="both"/>
        <w:rPr>
          <w:sz w:val="24"/>
          <w:szCs w:val="24"/>
        </w:rPr>
      </w:pPr>
      <w:proofErr w:type="gramStart"/>
      <w:r w:rsidRPr="00544E80">
        <w:rPr>
          <w:sz w:val="24"/>
          <w:szCs w:val="24"/>
        </w:rPr>
        <w:t>le</w:t>
      </w:r>
      <w:proofErr w:type="gramEnd"/>
      <w:r w:rsidRPr="00544E80">
        <w:rPr>
          <w:sz w:val="24"/>
          <w:szCs w:val="24"/>
        </w:rPr>
        <w:t xml:space="preserve"> spese per azioni revocatorie (art. 2901 c.c.)</w:t>
      </w:r>
    </w:p>
    <w:p w:rsidR="00B40E41" w:rsidRPr="00544E80" w:rsidRDefault="00B40E41" w:rsidP="00A57A22">
      <w:pPr>
        <w:pStyle w:val="Paragrafoelenco"/>
        <w:numPr>
          <w:ilvl w:val="0"/>
          <w:numId w:val="1"/>
        </w:numPr>
        <w:spacing w:line="226" w:lineRule="atLeast"/>
        <w:jc w:val="both"/>
        <w:rPr>
          <w:sz w:val="24"/>
          <w:szCs w:val="24"/>
        </w:rPr>
      </w:pPr>
      <w:proofErr w:type="gramStart"/>
      <w:r w:rsidRPr="00544E80">
        <w:rPr>
          <w:sz w:val="24"/>
          <w:szCs w:val="24"/>
        </w:rPr>
        <w:t>le</w:t>
      </w:r>
      <w:proofErr w:type="gramEnd"/>
      <w:r w:rsidRPr="00544E80">
        <w:rPr>
          <w:sz w:val="24"/>
          <w:szCs w:val="24"/>
        </w:rPr>
        <w:t xml:space="preserve"> spese per sequestro conservativo se anteriore al pignoramento, comprese quelle di custodia, sola esecuzione, nonché convalida o conferma del sequestro, escluso il giudizio di merito (importo da determinarsi in via equitativa se non indicato analiticamente in sentenza o provvedimento)</w:t>
      </w:r>
    </w:p>
    <w:p w:rsidR="00B40E41" w:rsidRPr="00544E80" w:rsidRDefault="00B40E41" w:rsidP="00A57A22">
      <w:pPr>
        <w:pStyle w:val="Paragrafoelenco"/>
        <w:numPr>
          <w:ilvl w:val="0"/>
          <w:numId w:val="1"/>
        </w:numPr>
        <w:spacing w:line="226" w:lineRule="atLeast"/>
        <w:jc w:val="both"/>
        <w:rPr>
          <w:sz w:val="24"/>
          <w:szCs w:val="24"/>
        </w:rPr>
      </w:pPr>
      <w:proofErr w:type="gramStart"/>
      <w:r w:rsidRPr="00544E80">
        <w:rPr>
          <w:sz w:val="24"/>
          <w:szCs w:val="24"/>
        </w:rPr>
        <w:t>le</w:t>
      </w:r>
      <w:proofErr w:type="gramEnd"/>
      <w:r w:rsidRPr="00544E80">
        <w:rPr>
          <w:sz w:val="24"/>
          <w:szCs w:val="24"/>
        </w:rPr>
        <w:t xml:space="preserve"> spese per giudizi di divisione necessari alla esecuzione su beni indivisi</w:t>
      </w:r>
    </w:p>
    <w:p w:rsidR="00B40E41" w:rsidRPr="00A57A22" w:rsidRDefault="00B40E41" w:rsidP="00A57A22">
      <w:pPr>
        <w:pStyle w:val="Paragrafoelenco"/>
        <w:numPr>
          <w:ilvl w:val="0"/>
          <w:numId w:val="1"/>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giudizi di opposizione all’esecuzione, limitatamente alle eccezioni concernenti la proprietà o pignorabilità dei beni o la prosecuzione della procedura</w:t>
      </w:r>
    </w:p>
    <w:p w:rsidR="00B40E41" w:rsidRPr="00A57A22" w:rsidRDefault="00B40E41" w:rsidP="00A57A22">
      <w:pPr>
        <w:pStyle w:val="Paragrafoelenco"/>
        <w:numPr>
          <w:ilvl w:val="0"/>
          <w:numId w:val="1"/>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legali ex D.M. 55/2014 (compreso il rimborso 15%, </w:t>
      </w:r>
      <w:proofErr w:type="spellStart"/>
      <w:r w:rsidRPr="00A57A22">
        <w:rPr>
          <w:sz w:val="24"/>
          <w:szCs w:val="24"/>
        </w:rPr>
        <w:t>cpa</w:t>
      </w:r>
      <w:proofErr w:type="spellEnd"/>
      <w:r w:rsidRPr="00A57A22">
        <w:rPr>
          <w:sz w:val="24"/>
          <w:szCs w:val="24"/>
        </w:rPr>
        <w:t>, iva solo nel caso in cui il creditore non abbia facoltà di portarla in detrazione).</w:t>
      </w:r>
    </w:p>
    <w:p w:rsidR="00B40E41" w:rsidRPr="00A57A22" w:rsidRDefault="00B40E41" w:rsidP="00A57A22">
      <w:pPr>
        <w:pStyle w:val="Paragrafoelenco"/>
        <w:spacing w:line="226" w:lineRule="atLeast"/>
        <w:jc w:val="both"/>
        <w:rPr>
          <w:sz w:val="24"/>
          <w:szCs w:val="24"/>
        </w:rPr>
      </w:pPr>
      <w:r w:rsidRPr="00A57A22">
        <w:rPr>
          <w:b/>
          <w:sz w:val="24"/>
          <w:szCs w:val="24"/>
        </w:rPr>
        <w:t>N.B</w:t>
      </w:r>
      <w:r w:rsidRPr="00A57A22">
        <w:rPr>
          <w:sz w:val="24"/>
          <w:szCs w:val="24"/>
        </w:rPr>
        <w:t>. Le spese legali sostenute dal creditore procedente devono essere riconosciute</w:t>
      </w:r>
      <w:r w:rsidR="00544E80">
        <w:rPr>
          <w:sz w:val="24"/>
          <w:szCs w:val="24"/>
        </w:rPr>
        <w:t xml:space="preserve"> dal delegato</w:t>
      </w:r>
      <w:r w:rsidRPr="00A57A22">
        <w:rPr>
          <w:sz w:val="24"/>
          <w:szCs w:val="24"/>
        </w:rPr>
        <w:t xml:space="preserve">, sulla base degli atti della procedura, </w:t>
      </w:r>
      <w:r w:rsidRPr="00544E80">
        <w:rPr>
          <w:sz w:val="24"/>
          <w:szCs w:val="24"/>
          <w:u w:val="single"/>
        </w:rPr>
        <w:t>tenendo conto dei valori medi di liquidazione</w:t>
      </w:r>
      <w:r w:rsidRPr="00A57A22">
        <w:rPr>
          <w:sz w:val="24"/>
          <w:szCs w:val="24"/>
        </w:rPr>
        <w:t xml:space="preserve"> stabiliti dal D.M. 55/2014, prendendo quale valore di </w:t>
      </w:r>
      <w:r w:rsidRPr="00544E80">
        <w:rPr>
          <w:sz w:val="24"/>
          <w:szCs w:val="24"/>
        </w:rPr>
        <w:t xml:space="preserve">riferimento il credito indicato in </w:t>
      </w:r>
      <w:r w:rsidRPr="008A56AC">
        <w:rPr>
          <w:sz w:val="24"/>
          <w:szCs w:val="24"/>
        </w:rPr>
        <w:t>precetto</w:t>
      </w:r>
      <w:r w:rsidR="00544E80" w:rsidRPr="008A56AC">
        <w:rPr>
          <w:i/>
          <w:sz w:val="24"/>
          <w:szCs w:val="24"/>
        </w:rPr>
        <w:t>.</w:t>
      </w:r>
      <w:r w:rsidR="008A56AC" w:rsidRPr="008A56AC">
        <w:rPr>
          <w:i/>
          <w:sz w:val="24"/>
          <w:szCs w:val="24"/>
        </w:rPr>
        <w:t xml:space="preserve"> </w:t>
      </w:r>
      <w:r w:rsidRPr="008A56AC">
        <w:rPr>
          <w:sz w:val="24"/>
          <w:szCs w:val="24"/>
        </w:rPr>
        <w:t>Le spese</w:t>
      </w:r>
      <w:r w:rsidRPr="00A57A22">
        <w:rPr>
          <w:sz w:val="24"/>
          <w:szCs w:val="24"/>
        </w:rPr>
        <w:t xml:space="preserve"> legali da riconoscere al creditore intervenuto non godono del privilegio ex art. 2770 c.c. salvo che abbia effettivamente sostituito il creditore procedente nello svolgimento di attività a favore di tutti i creditori (non rileva a questi fini il mero versamento del fondo spese o la corresponsione del compenso allo stimatore).</w:t>
      </w:r>
    </w:p>
    <w:p w:rsidR="00544E80" w:rsidRDefault="00544E80" w:rsidP="00A57A22">
      <w:pPr>
        <w:spacing w:line="226" w:lineRule="atLeast"/>
        <w:jc w:val="both"/>
        <w:rPr>
          <w:rFonts w:ascii="Times New Roman" w:hAnsi="Times New Roman" w:cs="Times New Roman"/>
          <w:sz w:val="24"/>
          <w:szCs w:val="24"/>
        </w:rPr>
      </w:pPr>
    </w:p>
    <w:p w:rsidR="00B40E41" w:rsidRPr="00544E80" w:rsidRDefault="00B40E41" w:rsidP="00A57A22">
      <w:pPr>
        <w:spacing w:line="226" w:lineRule="atLeast"/>
        <w:jc w:val="both"/>
        <w:rPr>
          <w:rFonts w:ascii="Times New Roman" w:hAnsi="Times New Roman" w:cs="Times New Roman"/>
          <w:b/>
          <w:sz w:val="24"/>
          <w:szCs w:val="24"/>
        </w:rPr>
      </w:pPr>
      <w:r w:rsidRPr="00544E80">
        <w:rPr>
          <w:rFonts w:ascii="Times New Roman" w:hAnsi="Times New Roman" w:cs="Times New Roman"/>
          <w:b/>
          <w:sz w:val="24"/>
          <w:szCs w:val="24"/>
        </w:rPr>
        <w:t>Sono escluse dal privilegio ex art. 2770 c.c.:</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lastRenderedPageBreak/>
        <w:t>le</w:t>
      </w:r>
      <w:proofErr w:type="gramEnd"/>
      <w:r w:rsidRPr="00A57A22">
        <w:rPr>
          <w:sz w:val="24"/>
          <w:szCs w:val="24"/>
        </w:rPr>
        <w:t xml:space="preserve"> spese per pignoramenti con risultato negativo (es. per trascrizione errata o per notifiche non andate a buon fine) (collocate al chirografo)</w:t>
      </w:r>
    </w:p>
    <w:p w:rsidR="00B40E41" w:rsidRPr="00544E80" w:rsidRDefault="00B40E41" w:rsidP="00A57A22">
      <w:pPr>
        <w:pStyle w:val="Paragrafoelenco"/>
        <w:numPr>
          <w:ilvl w:val="0"/>
          <w:numId w:val="6"/>
        </w:numPr>
        <w:spacing w:line="226" w:lineRule="atLeast"/>
        <w:jc w:val="both"/>
        <w:rPr>
          <w:sz w:val="24"/>
          <w:szCs w:val="24"/>
        </w:rPr>
      </w:pPr>
      <w:proofErr w:type="gramStart"/>
      <w:r w:rsidRPr="00544E80">
        <w:rPr>
          <w:sz w:val="24"/>
          <w:szCs w:val="24"/>
        </w:rPr>
        <w:t>le</w:t>
      </w:r>
      <w:proofErr w:type="gramEnd"/>
      <w:r w:rsidRPr="00544E80">
        <w:rPr>
          <w:sz w:val="24"/>
          <w:szCs w:val="24"/>
        </w:rPr>
        <w:t xml:space="preserve"> spese per pignoramenti su beni già pignorati (collocate al medesimo privilegio del credito</w:t>
      </w:r>
      <w:r w:rsidR="00544E80" w:rsidRPr="00544E80">
        <w:rPr>
          <w:sz w:val="24"/>
          <w:szCs w:val="24"/>
        </w:rPr>
        <w:t xml:space="preserve"> </w:t>
      </w:r>
      <w:r w:rsidRPr="00544E80">
        <w:rPr>
          <w:sz w:val="24"/>
          <w:szCs w:val="24"/>
        </w:rPr>
        <w:t>ex art. 2749 o 2855 c.c.)</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sostenute per l’intervento nel processo esecutivo (le quali sono collocate nel medesimo rango del credito ex art. 2749 e 2855 c.c.)</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sequestro convenzionale ex art. 1798 c.c. (in quanto spese sostenute al di fuori di un processo)</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opere richieste dal custode in caso di sequestro giudiziale (il quale non è finalizzato all’espropriazione)</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l’iscrizione di ipoteca giudiziale (tali spese sono privilegiate ex art. 2855 c.c.)</w:t>
      </w:r>
    </w:p>
    <w:p w:rsidR="00B40E41" w:rsidRPr="00A57A22" w:rsidRDefault="00B40E41" w:rsidP="00A57A22">
      <w:pPr>
        <w:pStyle w:val="Paragrafoelenco"/>
        <w:numPr>
          <w:ilvl w:val="0"/>
          <w:numId w:val="6"/>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sostenute dal creditore per procurarsi il titolo esecutivo (ad es. spese per ottenere un </w:t>
      </w:r>
      <w:proofErr w:type="spellStart"/>
      <w:r w:rsidRPr="00A57A22">
        <w:rPr>
          <w:sz w:val="24"/>
          <w:szCs w:val="24"/>
        </w:rPr>
        <w:t>d.i</w:t>
      </w:r>
      <w:proofErr w:type="spellEnd"/>
      <w:r w:rsidRPr="00A57A22">
        <w:rPr>
          <w:sz w:val="24"/>
          <w:szCs w:val="24"/>
        </w:rPr>
        <w:t>.)</w:t>
      </w:r>
    </w:p>
    <w:p w:rsidR="00544E80" w:rsidRDefault="00544E80" w:rsidP="00544E80">
      <w:pPr>
        <w:pStyle w:val="Paragrafoelenco"/>
        <w:spacing w:line="226" w:lineRule="atLeast"/>
        <w:jc w:val="both"/>
        <w:rPr>
          <w:sz w:val="24"/>
          <w:szCs w:val="24"/>
        </w:rPr>
      </w:pPr>
    </w:p>
    <w:p w:rsidR="00B40E41" w:rsidRPr="00A57A22" w:rsidRDefault="00B40E41" w:rsidP="00544E80">
      <w:pPr>
        <w:pStyle w:val="Paragrafoelenco"/>
        <w:spacing w:line="226" w:lineRule="atLeast"/>
        <w:jc w:val="both"/>
        <w:rPr>
          <w:sz w:val="24"/>
          <w:szCs w:val="24"/>
        </w:rPr>
      </w:pPr>
      <w:r w:rsidRPr="00A57A22">
        <w:rPr>
          <w:sz w:val="24"/>
          <w:szCs w:val="24"/>
          <w:u w:val="single"/>
        </w:rPr>
        <w:t>In caso di concorso di più privilegi ex art. 2770 c.c. e di insufficienza dell’attivo si dà luogo a ripartizione proporzionale</w:t>
      </w:r>
      <w:r w:rsidRPr="00A57A22">
        <w:rPr>
          <w:sz w:val="24"/>
          <w:szCs w:val="24"/>
        </w:rPr>
        <w:t xml:space="preserve"> (art. 2782 c.c.).</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b/>
          <w:sz w:val="24"/>
          <w:szCs w:val="24"/>
        </w:rPr>
      </w:pPr>
      <w:r w:rsidRPr="00A57A22">
        <w:rPr>
          <w:rFonts w:ascii="Times New Roman" w:hAnsi="Times New Roman" w:cs="Times New Roman"/>
          <w:b/>
          <w:sz w:val="24"/>
          <w:szCs w:val="24"/>
        </w:rPr>
        <w:t>CREDITI IPOTECARI</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 xml:space="preserve">Soddisfatti i creditori privilegiati ex art. 2770 c.c., il delegato dovrà indicare la somma residua per la distribuzione.      </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In base a quanto disposto dall’art. 2916 c.c. non danno luogo alla prelazione le ipoteche iscritte dopo il pignoramento, né quelle per le quali sia trascorso un ventennio dalla loro iscrizione.</w:t>
      </w:r>
    </w:p>
    <w:p w:rsidR="00544E80" w:rsidRDefault="00544E80"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Ai sensi dell’art. 2855 c.c. sono considerati crediti assistiti dal privilegio ipotecario:</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il</w:t>
      </w:r>
      <w:proofErr w:type="gramEnd"/>
      <w:r w:rsidRPr="00A57A22">
        <w:rPr>
          <w:sz w:val="24"/>
          <w:szCs w:val="24"/>
        </w:rPr>
        <w:t xml:space="preserve"> </w:t>
      </w:r>
      <w:r w:rsidRPr="00A57A22">
        <w:rPr>
          <w:sz w:val="24"/>
          <w:szCs w:val="24"/>
          <w:u w:val="single"/>
        </w:rPr>
        <w:t>capitale residuo</w:t>
      </w:r>
      <w:r w:rsidRPr="00A57A22">
        <w:rPr>
          <w:sz w:val="24"/>
          <w:szCs w:val="24"/>
        </w:rPr>
        <w:t>;</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gli</w:t>
      </w:r>
      <w:proofErr w:type="gramEnd"/>
      <w:r w:rsidRPr="00A57A22">
        <w:rPr>
          <w:sz w:val="24"/>
          <w:szCs w:val="24"/>
        </w:rPr>
        <w:t xml:space="preserve"> </w:t>
      </w:r>
      <w:r w:rsidRPr="00A57A22">
        <w:rPr>
          <w:sz w:val="24"/>
          <w:szCs w:val="24"/>
          <w:u w:val="single"/>
        </w:rPr>
        <w:t>interessi convenzionali</w:t>
      </w:r>
      <w:r w:rsidRPr="00A57A22">
        <w:rPr>
          <w:sz w:val="24"/>
          <w:szCs w:val="24"/>
        </w:rPr>
        <w:t>: sono ammessi nella misura del tasso indicato nell’iscrizione ipotecaria per l’anno in corso e per le due annate precedenti alla data del pignoramento o dell’intervento. Sono esclusi gli interessi moratori (</w:t>
      </w:r>
      <w:proofErr w:type="spellStart"/>
      <w:r w:rsidRPr="00A57A22">
        <w:rPr>
          <w:sz w:val="24"/>
          <w:szCs w:val="24"/>
        </w:rPr>
        <w:t>Cass</w:t>
      </w:r>
      <w:proofErr w:type="spellEnd"/>
      <w:r w:rsidRPr="00A57A22">
        <w:rPr>
          <w:sz w:val="24"/>
          <w:szCs w:val="24"/>
        </w:rPr>
        <w:t>. 15 gennaio 2013 n. 775);</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gli</w:t>
      </w:r>
      <w:proofErr w:type="gramEnd"/>
      <w:r w:rsidRPr="00A57A22">
        <w:rPr>
          <w:sz w:val="24"/>
          <w:szCs w:val="24"/>
        </w:rPr>
        <w:t xml:space="preserve"> </w:t>
      </w:r>
      <w:r w:rsidRPr="00A57A22">
        <w:rPr>
          <w:sz w:val="24"/>
          <w:szCs w:val="24"/>
          <w:u w:val="single"/>
        </w:rPr>
        <w:t>interessi legali</w:t>
      </w:r>
      <w:r w:rsidRPr="00A57A22">
        <w:rPr>
          <w:sz w:val="24"/>
          <w:szCs w:val="24"/>
        </w:rPr>
        <w:t xml:space="preserve"> (anche moratori: cfr. </w:t>
      </w:r>
      <w:proofErr w:type="spellStart"/>
      <w:r w:rsidRPr="00A57A22">
        <w:rPr>
          <w:sz w:val="24"/>
          <w:szCs w:val="24"/>
        </w:rPr>
        <w:t>Cass</w:t>
      </w:r>
      <w:proofErr w:type="spellEnd"/>
      <w:r w:rsidRPr="00A57A22">
        <w:rPr>
          <w:sz w:val="24"/>
          <w:szCs w:val="24"/>
        </w:rPr>
        <w:t>. 28 luglio 2014 n. 17044) dal primo giorno successivo al termine dell’anno in corso alla data del pignoramento o dell’intervento e sino alla data di deposito del decreto di trasferimento;</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gli</w:t>
      </w:r>
      <w:proofErr w:type="gramEnd"/>
      <w:r w:rsidRPr="00A57A22">
        <w:rPr>
          <w:sz w:val="24"/>
          <w:szCs w:val="24"/>
        </w:rPr>
        <w:t xml:space="preserve"> </w:t>
      </w:r>
      <w:r w:rsidRPr="008479CD">
        <w:rPr>
          <w:sz w:val="24"/>
          <w:szCs w:val="24"/>
          <w:u w:val="single"/>
        </w:rPr>
        <w:t>eventuali interessi eccedenti i tre anni</w:t>
      </w:r>
      <w:r w:rsidRPr="00A57A22">
        <w:rPr>
          <w:sz w:val="24"/>
          <w:szCs w:val="24"/>
        </w:rPr>
        <w:t>, ma solo se oggetto di separata ed autonoma iscrizione ipotecaria effettuata successivamente alla scadenza degli interessi;</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w:t>
      </w:r>
      <w:r w:rsidRPr="00A57A22">
        <w:rPr>
          <w:sz w:val="24"/>
          <w:szCs w:val="24"/>
          <w:u w:val="single"/>
        </w:rPr>
        <w:t>spese per l’atto di costituzione di ipoteca volontaria</w:t>
      </w:r>
      <w:r w:rsidRPr="00A57A22">
        <w:rPr>
          <w:sz w:val="24"/>
          <w:szCs w:val="24"/>
        </w:rPr>
        <w:t xml:space="preserve">; </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w:t>
      </w:r>
      <w:r w:rsidRPr="00A57A22">
        <w:rPr>
          <w:sz w:val="24"/>
          <w:szCs w:val="24"/>
          <w:u w:val="single"/>
        </w:rPr>
        <w:t>spese di iscrizione</w:t>
      </w:r>
      <w:r w:rsidRPr="00A57A22">
        <w:rPr>
          <w:sz w:val="24"/>
          <w:szCs w:val="24"/>
        </w:rPr>
        <w:t xml:space="preserve"> (imposta ipotecaria, spese per copie, ecc.) e </w:t>
      </w:r>
      <w:r w:rsidRPr="00A57A22">
        <w:rPr>
          <w:sz w:val="24"/>
          <w:szCs w:val="24"/>
          <w:u w:val="single"/>
        </w:rPr>
        <w:t>rinnovazione</w:t>
      </w:r>
      <w:r w:rsidRPr="00A57A22">
        <w:rPr>
          <w:sz w:val="24"/>
          <w:szCs w:val="24"/>
        </w:rPr>
        <w:t xml:space="preserve"> dell’ipoteca; </w:t>
      </w:r>
    </w:p>
    <w:p w:rsidR="00B40E41" w:rsidRPr="00A57A22" w:rsidRDefault="00B40E41" w:rsidP="00A57A22">
      <w:pPr>
        <w:pStyle w:val="Paragrafoelenco"/>
        <w:numPr>
          <w:ilvl w:val="0"/>
          <w:numId w:val="2"/>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w:t>
      </w:r>
      <w:r w:rsidRPr="00A57A22">
        <w:rPr>
          <w:sz w:val="24"/>
          <w:szCs w:val="24"/>
          <w:u w:val="single"/>
        </w:rPr>
        <w:t>spese legali</w:t>
      </w:r>
      <w:r w:rsidRPr="00A57A22">
        <w:rPr>
          <w:sz w:val="24"/>
          <w:szCs w:val="24"/>
        </w:rPr>
        <w:t xml:space="preserve"> sostenute nel corso del processo esecutivo, oltre rimborso 15%, </w:t>
      </w:r>
      <w:proofErr w:type="spellStart"/>
      <w:r w:rsidRPr="00A57A22">
        <w:rPr>
          <w:sz w:val="24"/>
          <w:szCs w:val="24"/>
        </w:rPr>
        <w:t>cpa</w:t>
      </w:r>
      <w:proofErr w:type="spellEnd"/>
      <w:r w:rsidRPr="00A57A22">
        <w:rPr>
          <w:sz w:val="24"/>
          <w:szCs w:val="24"/>
        </w:rPr>
        <w:t xml:space="preserve"> e iva se dovuta;</w:t>
      </w:r>
    </w:p>
    <w:p w:rsidR="00B40E41" w:rsidRPr="00A57A22" w:rsidRDefault="00B40E41" w:rsidP="00A57A22">
      <w:pPr>
        <w:pStyle w:val="Paragrafoelenco"/>
        <w:spacing w:line="226" w:lineRule="atLeast"/>
        <w:jc w:val="both"/>
        <w:rPr>
          <w:sz w:val="24"/>
          <w:szCs w:val="24"/>
        </w:rPr>
      </w:pPr>
      <w:r w:rsidRPr="00A57A22">
        <w:rPr>
          <w:b/>
          <w:sz w:val="24"/>
          <w:szCs w:val="24"/>
        </w:rPr>
        <w:t>N.B</w:t>
      </w:r>
      <w:r w:rsidRPr="00A57A22">
        <w:rPr>
          <w:sz w:val="24"/>
          <w:szCs w:val="24"/>
        </w:rPr>
        <w:t xml:space="preserve">. Le competenze dei legali dei creditori intervenuti devono essere riconosciute sulla base degli atti della procedura, tenendo conto dei </w:t>
      </w:r>
      <w:r w:rsidRPr="00A57A22">
        <w:rPr>
          <w:sz w:val="24"/>
          <w:szCs w:val="24"/>
          <w:u w:val="single"/>
        </w:rPr>
        <w:t>valori medi di liquidazione</w:t>
      </w:r>
      <w:r w:rsidRPr="00A57A22">
        <w:rPr>
          <w:sz w:val="24"/>
          <w:szCs w:val="24"/>
        </w:rPr>
        <w:t xml:space="preserve"> stabiliti dal D.M. 55/2014, limitatamente alla </w:t>
      </w:r>
      <w:r w:rsidRPr="00A57A22">
        <w:rPr>
          <w:sz w:val="24"/>
          <w:szCs w:val="24"/>
          <w:u w:val="single"/>
        </w:rPr>
        <w:t>fase di trattazione</w:t>
      </w:r>
      <w:r w:rsidRPr="00A57A22">
        <w:rPr>
          <w:sz w:val="24"/>
          <w:szCs w:val="24"/>
        </w:rPr>
        <w:t xml:space="preserve">, prendendo quale valore di </w:t>
      </w:r>
      <w:r w:rsidRPr="00544E80">
        <w:rPr>
          <w:sz w:val="24"/>
          <w:szCs w:val="24"/>
        </w:rPr>
        <w:t xml:space="preserve">riferimento </w:t>
      </w:r>
      <w:r w:rsidR="00544E80">
        <w:rPr>
          <w:sz w:val="24"/>
          <w:szCs w:val="24"/>
        </w:rPr>
        <w:t>i</w:t>
      </w:r>
      <w:r w:rsidRPr="00544E80">
        <w:rPr>
          <w:sz w:val="24"/>
          <w:szCs w:val="24"/>
        </w:rPr>
        <w:t>l credito indicato in precetto.</w:t>
      </w:r>
      <w:r w:rsidRPr="00A57A22">
        <w:rPr>
          <w:sz w:val="24"/>
          <w:szCs w:val="24"/>
        </w:rPr>
        <w:t xml:space="preserve"> Nel caso di intervento si riconosceranno solo i compensi relativi alla seconda fase. </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lastRenderedPageBreak/>
        <w:t>Il limite dei tre anni imposto dalla norma per l’estensione dell’ipoteca agli interessi riguarda solo gli interessi futuri (cioè non ancora maturati alla data di iscrizione dell’ipoteca) e non gli interessi già scaduti alla data di iscrizione purché espressamente indicati nel valore garantito.</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Sono garantiti dal privilegio ipotecario i soli interessi iscritti ovvero quegli interessi determinati (o determinabili mediante indicazione del criterio di calcolo) che risultino dalla nota di iscrizione ipotecaria. Qualora tale criterio non risultasse dalla nota di trascrizione o siano stati richiesti in base al titolo interessi più alti di quelli risultanti dalla nota di iscrizione essi devono essere considerati come crediti chirografari.</w:t>
      </w:r>
    </w:p>
    <w:p w:rsidR="008479CD" w:rsidRDefault="008479CD"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 xml:space="preserve">Pertanto, </w:t>
      </w:r>
      <w:r w:rsidRPr="00A57A22">
        <w:rPr>
          <w:rFonts w:ascii="Times New Roman" w:hAnsi="Times New Roman" w:cs="Times New Roman"/>
          <w:b/>
          <w:sz w:val="24"/>
          <w:szCs w:val="24"/>
          <w:u w:val="single"/>
        </w:rPr>
        <w:t>non</w:t>
      </w:r>
      <w:r w:rsidRPr="00A57A22">
        <w:rPr>
          <w:rFonts w:ascii="Times New Roman" w:hAnsi="Times New Roman" w:cs="Times New Roman"/>
          <w:sz w:val="24"/>
          <w:szCs w:val="24"/>
        </w:rPr>
        <w:t xml:space="preserve"> sono crediti assistiti dal privilegio ipotecario:</w:t>
      </w:r>
    </w:p>
    <w:p w:rsidR="00B40E41" w:rsidRPr="00A57A22" w:rsidRDefault="00B40E41" w:rsidP="00A57A22">
      <w:pPr>
        <w:pStyle w:val="Paragrafoelenco"/>
        <w:numPr>
          <w:ilvl w:val="0"/>
          <w:numId w:val="3"/>
        </w:numPr>
        <w:spacing w:line="226" w:lineRule="atLeast"/>
        <w:jc w:val="both"/>
        <w:rPr>
          <w:sz w:val="24"/>
          <w:szCs w:val="24"/>
        </w:rPr>
      </w:pPr>
      <w:proofErr w:type="gramStart"/>
      <w:r w:rsidRPr="00A57A22">
        <w:rPr>
          <w:sz w:val="24"/>
          <w:szCs w:val="24"/>
        </w:rPr>
        <w:t>gli</w:t>
      </w:r>
      <w:proofErr w:type="gramEnd"/>
      <w:r w:rsidRPr="00A57A22">
        <w:rPr>
          <w:sz w:val="24"/>
          <w:szCs w:val="24"/>
        </w:rPr>
        <w:t xml:space="preserve"> interessi maturati anteriormente al biennio, salvo che vi sia stata per questi una successiva e distinta iscrizione ipotecaria specificamente fatta per essi;</w:t>
      </w:r>
    </w:p>
    <w:p w:rsidR="00B40E41" w:rsidRPr="00A57A22" w:rsidRDefault="00B40E41" w:rsidP="00A57A22">
      <w:pPr>
        <w:pStyle w:val="Paragrafoelenco"/>
        <w:numPr>
          <w:ilvl w:val="0"/>
          <w:numId w:val="3"/>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relative alla formazione dell’atto costitutivo del credito (es. contratto di concessione di mutuo), salvo patto espresso contrario e autonoma iscrizione;</w:t>
      </w:r>
    </w:p>
    <w:p w:rsidR="00B40E41" w:rsidRPr="00A57A22" w:rsidRDefault="00B40E41" w:rsidP="00A57A22">
      <w:pPr>
        <w:pStyle w:val="Paragrafoelenco"/>
        <w:numPr>
          <w:ilvl w:val="0"/>
          <w:numId w:val="3"/>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l’emissione e la registrazione del decreto ingiuntivo o della sentenza salvo che vi sia specifica iscrizione per esse;</w:t>
      </w:r>
    </w:p>
    <w:p w:rsidR="00B40E41" w:rsidRPr="00A57A22" w:rsidRDefault="00B40E41" w:rsidP="00A57A22">
      <w:pPr>
        <w:pStyle w:val="Paragrafoelenco"/>
        <w:numPr>
          <w:ilvl w:val="0"/>
          <w:numId w:val="3"/>
        </w:numPr>
        <w:spacing w:line="226" w:lineRule="atLeast"/>
        <w:jc w:val="both"/>
        <w:rPr>
          <w:sz w:val="24"/>
          <w:szCs w:val="24"/>
        </w:rPr>
      </w:pPr>
      <w:proofErr w:type="gramStart"/>
      <w:r w:rsidRPr="00A57A22">
        <w:rPr>
          <w:sz w:val="24"/>
          <w:szCs w:val="24"/>
        </w:rPr>
        <w:t>le</w:t>
      </w:r>
      <w:proofErr w:type="gramEnd"/>
      <w:r w:rsidRPr="00A57A22">
        <w:rPr>
          <w:sz w:val="24"/>
          <w:szCs w:val="24"/>
        </w:rPr>
        <w:t xml:space="preserve"> spese per l’atto da cui sia derivata l’eventuale ipoteca legale (es. compravendita);</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ab/>
      </w:r>
    </w:p>
    <w:p w:rsidR="00B40E41" w:rsidRPr="00A57A22" w:rsidRDefault="00B40E41" w:rsidP="00A57A22">
      <w:pPr>
        <w:spacing w:line="226" w:lineRule="atLeast"/>
        <w:jc w:val="both"/>
        <w:rPr>
          <w:rFonts w:ascii="Times New Roman" w:hAnsi="Times New Roman" w:cs="Times New Roman"/>
          <w:b/>
          <w:sz w:val="24"/>
          <w:szCs w:val="24"/>
          <w:u w:val="single"/>
        </w:rPr>
      </w:pPr>
      <w:r w:rsidRPr="00A57A22">
        <w:rPr>
          <w:rFonts w:ascii="Times New Roman" w:hAnsi="Times New Roman" w:cs="Times New Roman"/>
          <w:b/>
          <w:sz w:val="24"/>
          <w:szCs w:val="24"/>
          <w:u w:val="single"/>
        </w:rPr>
        <w:t>Nozione di anno in corso: determinazione del biennio anteriore e dell’anno in corso alla data del pignoramento</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L’anno in corso alla data del pignoramento non è l’anno solare, ma va determinato con il seguente procedimento:</w:t>
      </w:r>
    </w:p>
    <w:p w:rsidR="00B40E41" w:rsidRPr="00A57A22" w:rsidRDefault="00B40E41" w:rsidP="00A57A22">
      <w:pPr>
        <w:pStyle w:val="Paragrafoelenco"/>
        <w:numPr>
          <w:ilvl w:val="0"/>
          <w:numId w:val="4"/>
        </w:numPr>
        <w:spacing w:line="226" w:lineRule="atLeast"/>
        <w:jc w:val="both"/>
        <w:rPr>
          <w:sz w:val="24"/>
          <w:szCs w:val="24"/>
        </w:rPr>
      </w:pPr>
      <w:proofErr w:type="gramStart"/>
      <w:r w:rsidRPr="00A57A22">
        <w:rPr>
          <w:sz w:val="24"/>
          <w:szCs w:val="24"/>
        </w:rPr>
        <w:t>determinare</w:t>
      </w:r>
      <w:proofErr w:type="gramEnd"/>
      <w:r w:rsidRPr="00A57A22">
        <w:rPr>
          <w:sz w:val="24"/>
          <w:szCs w:val="24"/>
        </w:rPr>
        <w:t xml:space="preserve"> la data di decorrenza degli interessi del debito. Nel caso di debiti da mutuo: la data contrattualmente prevista. Nel caso di debiti accertati giudizialmente: la data della mora indicata in sentenza o, in mancanza, la data di pubblicazione del provvedimento (decreto ingiuntivo o sentenza);</w:t>
      </w:r>
    </w:p>
    <w:p w:rsidR="00B40E41" w:rsidRPr="00A57A22" w:rsidRDefault="00B40E41" w:rsidP="00A57A22">
      <w:pPr>
        <w:pStyle w:val="Paragrafoelenco"/>
        <w:numPr>
          <w:ilvl w:val="0"/>
          <w:numId w:val="4"/>
        </w:numPr>
        <w:spacing w:line="226" w:lineRule="atLeast"/>
        <w:jc w:val="both"/>
        <w:rPr>
          <w:sz w:val="24"/>
          <w:szCs w:val="24"/>
        </w:rPr>
      </w:pPr>
      <w:proofErr w:type="gramStart"/>
      <w:r w:rsidRPr="00A57A22">
        <w:rPr>
          <w:sz w:val="24"/>
          <w:szCs w:val="24"/>
        </w:rPr>
        <w:t>aggiungere</w:t>
      </w:r>
      <w:proofErr w:type="gramEnd"/>
      <w:r w:rsidRPr="00A57A22">
        <w:rPr>
          <w:sz w:val="24"/>
          <w:szCs w:val="24"/>
        </w:rPr>
        <w:t xml:space="preserve"> alla data di decorrenza del debito un anno per tante volte sino a che sia superata la data del pignoramento: il risultato è una data che chiameremo C;</w:t>
      </w:r>
    </w:p>
    <w:p w:rsidR="00B40E41" w:rsidRPr="00A57A22" w:rsidRDefault="00B40E41" w:rsidP="00A57A22">
      <w:pPr>
        <w:pStyle w:val="Paragrafoelenco"/>
        <w:numPr>
          <w:ilvl w:val="0"/>
          <w:numId w:val="4"/>
        </w:numPr>
        <w:spacing w:line="226" w:lineRule="atLeast"/>
        <w:jc w:val="both"/>
        <w:rPr>
          <w:sz w:val="24"/>
          <w:szCs w:val="24"/>
        </w:rPr>
      </w:pPr>
      <w:proofErr w:type="gramStart"/>
      <w:r w:rsidRPr="00A57A22">
        <w:rPr>
          <w:sz w:val="24"/>
          <w:szCs w:val="24"/>
        </w:rPr>
        <w:t>sottrarre</w:t>
      </w:r>
      <w:proofErr w:type="gramEnd"/>
      <w:r w:rsidRPr="00A57A22">
        <w:rPr>
          <w:sz w:val="24"/>
          <w:szCs w:val="24"/>
        </w:rPr>
        <w:t xml:space="preserve"> un anno dalla data C: da questo momento inizia l’anno in corso (chiameremo B questa seconda data);</w:t>
      </w:r>
    </w:p>
    <w:p w:rsidR="00B40E41" w:rsidRPr="00A57A22" w:rsidRDefault="00B40E41" w:rsidP="00A57A22">
      <w:pPr>
        <w:pStyle w:val="Paragrafoelenco"/>
        <w:numPr>
          <w:ilvl w:val="0"/>
          <w:numId w:val="4"/>
        </w:numPr>
        <w:spacing w:line="226" w:lineRule="atLeast"/>
        <w:jc w:val="both"/>
        <w:rPr>
          <w:sz w:val="24"/>
          <w:szCs w:val="24"/>
        </w:rPr>
      </w:pPr>
      <w:proofErr w:type="gramStart"/>
      <w:r w:rsidRPr="00A57A22">
        <w:rPr>
          <w:sz w:val="24"/>
          <w:szCs w:val="24"/>
        </w:rPr>
        <w:t>sottrarre</w:t>
      </w:r>
      <w:proofErr w:type="gramEnd"/>
      <w:r w:rsidRPr="00A57A22">
        <w:rPr>
          <w:sz w:val="24"/>
          <w:szCs w:val="24"/>
        </w:rPr>
        <w:t xml:space="preserve"> due anni alla data B: chiameremo A la data risultante.</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u w:val="single"/>
        </w:rPr>
        <w:t>Gli interessi maturati successivamente alla data A e sino alla data C sono da collocarsi al privilegio, al tasso convenzionale; gli interessi maturati anteriormente a questa data sono da considerare crediti chirografari</w:t>
      </w:r>
      <w:r w:rsidRPr="00A57A22">
        <w:rPr>
          <w:rFonts w:ascii="Times New Roman" w:hAnsi="Times New Roman" w:cs="Times New Roman"/>
          <w:sz w:val="24"/>
          <w:szCs w:val="24"/>
        </w:rPr>
        <w:t xml:space="preserve">. </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b/>
          <w:sz w:val="24"/>
          <w:szCs w:val="24"/>
          <w:u w:val="single"/>
        </w:rPr>
      </w:pPr>
      <w:r w:rsidRPr="00A57A22">
        <w:rPr>
          <w:rFonts w:ascii="Times New Roman" w:hAnsi="Times New Roman" w:cs="Times New Roman"/>
          <w:b/>
          <w:sz w:val="24"/>
          <w:szCs w:val="24"/>
          <w:u w:val="single"/>
        </w:rPr>
        <w:t xml:space="preserve">Particolarità relative all’applicazione dell’art.2855 cod. civ. </w:t>
      </w:r>
      <w:proofErr w:type="gramStart"/>
      <w:r w:rsidRPr="00A57A22">
        <w:rPr>
          <w:rFonts w:ascii="Times New Roman" w:hAnsi="Times New Roman" w:cs="Times New Roman"/>
          <w:b/>
          <w:sz w:val="24"/>
          <w:szCs w:val="24"/>
          <w:u w:val="single"/>
        </w:rPr>
        <w:t>nel</w:t>
      </w:r>
      <w:proofErr w:type="gramEnd"/>
      <w:r w:rsidRPr="00A57A22">
        <w:rPr>
          <w:rFonts w:ascii="Times New Roman" w:hAnsi="Times New Roman" w:cs="Times New Roman"/>
          <w:b/>
          <w:sz w:val="24"/>
          <w:szCs w:val="24"/>
          <w:u w:val="single"/>
        </w:rPr>
        <w:t xml:space="preserve"> caso  di contratti di mutuo con piano di ammortamento rateale</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La maggior parte dei contratti di mutuo prevedono la restituzione mediante rate periodiche (in genere semestrali).</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Normalmente, ogni rata prevista dal piano di ammortamento è composta di una quota capitale e di una quota interessi.</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lastRenderedPageBreak/>
        <w:t xml:space="preserve">Se quindi le rate che scadono nel biennio e nell’anno in corso possono essere collocate interamente, così come sono, tra i crediti privilegiati, per le rate anteriori al biennio bisogna operare una scomposizione, separando le quota interessi (che va al chirografo) da quella capitale (che va al privilegio). Se vi sono quindi rate anteriori al biennio è necessario sempre richiedere il piano di ammortamento. </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line="226" w:lineRule="atLeast"/>
        <w:jc w:val="both"/>
        <w:rPr>
          <w:rFonts w:ascii="Times New Roman" w:hAnsi="Times New Roman" w:cs="Times New Roman"/>
          <w:b/>
          <w:sz w:val="24"/>
          <w:szCs w:val="24"/>
          <w:u w:val="single"/>
        </w:rPr>
      </w:pPr>
      <w:r w:rsidRPr="00A57A22">
        <w:rPr>
          <w:rFonts w:ascii="Times New Roman" w:hAnsi="Times New Roman" w:cs="Times New Roman"/>
          <w:b/>
          <w:sz w:val="24"/>
          <w:szCs w:val="24"/>
          <w:u w:val="single"/>
        </w:rPr>
        <w:t>Graduazione delle ipoteche</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 xml:space="preserve">In caso di più ipoteche, la prelazione viene esercitata in ordine di grado (art. 2852 ss. c.c.). </w:t>
      </w:r>
    </w:p>
    <w:p w:rsidR="00B40E41" w:rsidRPr="00A57A22" w:rsidRDefault="00B40E41" w:rsidP="00A57A22">
      <w:pPr>
        <w:spacing w:line="226" w:lineRule="atLeast"/>
        <w:jc w:val="both"/>
        <w:rPr>
          <w:rFonts w:ascii="Times New Roman" w:hAnsi="Times New Roman" w:cs="Times New Roman"/>
          <w:sz w:val="24"/>
          <w:szCs w:val="24"/>
        </w:rPr>
      </w:pPr>
      <w:r w:rsidRPr="00A57A22">
        <w:rPr>
          <w:rFonts w:ascii="Times New Roman" w:hAnsi="Times New Roman" w:cs="Times New Roman"/>
          <w:sz w:val="24"/>
          <w:szCs w:val="24"/>
        </w:rPr>
        <w:t>Nel caso di grado uguale, i crediti concorrono in proporzione all’importo relativo (art. 2854 c.c.).</w:t>
      </w:r>
    </w:p>
    <w:p w:rsidR="00B40E41" w:rsidRPr="00A57A22" w:rsidRDefault="00B40E41" w:rsidP="00A57A22">
      <w:pPr>
        <w:spacing w:line="226" w:lineRule="atLeast"/>
        <w:jc w:val="both"/>
        <w:rPr>
          <w:rFonts w:ascii="Times New Roman" w:hAnsi="Times New Roman" w:cs="Times New Roman"/>
          <w:sz w:val="24"/>
          <w:szCs w:val="24"/>
        </w:rPr>
      </w:pPr>
    </w:p>
    <w:p w:rsidR="00B40E41" w:rsidRPr="00A57A22" w:rsidRDefault="00B40E41" w:rsidP="00A57A22">
      <w:pPr>
        <w:spacing w:before="120" w:line="226" w:lineRule="atLeast"/>
        <w:ind w:right="140"/>
        <w:jc w:val="both"/>
        <w:rPr>
          <w:rFonts w:ascii="Times New Roman" w:hAnsi="Times New Roman" w:cs="Times New Roman"/>
          <w:b/>
          <w:sz w:val="24"/>
          <w:szCs w:val="24"/>
        </w:rPr>
      </w:pPr>
      <w:r w:rsidRPr="00A57A22">
        <w:rPr>
          <w:rFonts w:ascii="Times New Roman" w:hAnsi="Times New Roman" w:cs="Times New Roman"/>
          <w:b/>
          <w:sz w:val="24"/>
          <w:szCs w:val="24"/>
        </w:rPr>
        <w:t>CREDITI CHIROGRAFARI</w:t>
      </w:r>
    </w:p>
    <w:p w:rsidR="00B40E41" w:rsidRPr="00A57A22" w:rsidRDefault="00B40E41" w:rsidP="00A57A22">
      <w:pPr>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Sono creditori chirografari tutti coloro che non hanno alcun privilegio e i creditori muniti di privilegio per la parte di credito che non può essere coperta dalla garanzia ipotecaria.</w:t>
      </w:r>
    </w:p>
    <w:p w:rsidR="00B40E41" w:rsidRPr="00A57A22" w:rsidRDefault="00B40E41" w:rsidP="00A57A22">
      <w:pPr>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Si tratta solo ed esclusivamente dei creditori intervenuti o che abbiano pignorato (per primi o successivamente) l’immobile oggetto della procedura.</w:t>
      </w:r>
    </w:p>
    <w:p w:rsidR="00B40E41" w:rsidRPr="00A57A22" w:rsidRDefault="00B40E41" w:rsidP="00A57A22">
      <w:pPr>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Qualora la procedura sia incapiente, i crediti muniti dello stesso grado devono essere soddisfatti in percentuale al loro ammontare.</w:t>
      </w:r>
    </w:p>
    <w:p w:rsidR="00B40E41" w:rsidRPr="00A57A22" w:rsidRDefault="00B40E41" w:rsidP="00A57A22">
      <w:pPr>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 xml:space="preserve">Il delegato dovrà attribuire rilevanza, ai fini del riparto, al momento in cui i singoli creditori chirografari si sono insinuati nella procedura (artt. 565, 566 e 524 </w:t>
      </w:r>
      <w:proofErr w:type="spellStart"/>
      <w:r w:rsidRPr="00A57A22">
        <w:rPr>
          <w:rFonts w:ascii="Times New Roman" w:hAnsi="Times New Roman" w:cs="Times New Roman"/>
          <w:sz w:val="24"/>
          <w:szCs w:val="24"/>
        </w:rPr>
        <w:t>c.p.c.</w:t>
      </w:r>
      <w:proofErr w:type="spellEnd"/>
      <w:r w:rsidRPr="00A57A22">
        <w:rPr>
          <w:rFonts w:ascii="Times New Roman" w:hAnsi="Times New Roman" w:cs="Times New Roman"/>
          <w:sz w:val="24"/>
          <w:szCs w:val="24"/>
        </w:rPr>
        <w:t xml:space="preserve">). </w:t>
      </w:r>
    </w:p>
    <w:p w:rsidR="00B40E41" w:rsidRPr="00A57A22" w:rsidRDefault="00B40E41" w:rsidP="00A57A22">
      <w:pPr>
        <w:spacing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La tardività del pignoramento o dell’intervento non nuoce ai creditori muniti di prelazione (derivante da ipoteca o altro privilegio), i quali concorreranno comunque sulla base del grado che gli spetta, al contrario essa pregiudica i creditori chirografari (pignoranti o intervenienti), i quali, per il solo fatto di essere tardivi, dovranno essere soddisfatti solo dopo i creditori chirografari che siano intervenuti tempestivamente.</w:t>
      </w:r>
    </w:p>
    <w:p w:rsidR="00B40E41" w:rsidRPr="00A57A22" w:rsidRDefault="00B40E41" w:rsidP="00A57A22">
      <w:pPr>
        <w:spacing w:line="226" w:lineRule="atLeast"/>
        <w:ind w:right="140"/>
        <w:jc w:val="both"/>
        <w:rPr>
          <w:rFonts w:ascii="Times New Roman" w:hAnsi="Times New Roman" w:cs="Times New Roman"/>
          <w:sz w:val="24"/>
          <w:szCs w:val="24"/>
        </w:rPr>
      </w:pPr>
      <w:r w:rsidRPr="00A57A22">
        <w:rPr>
          <w:rFonts w:ascii="Times New Roman" w:hAnsi="Times New Roman" w:cs="Times New Roman"/>
          <w:sz w:val="24"/>
          <w:szCs w:val="24"/>
        </w:rPr>
        <w:t xml:space="preserve">Nel caso in cui si giunga quindi a pagare il chirografo, dovrà previamente controllarsi, tra i creditori chirografari, </w:t>
      </w:r>
      <w:r w:rsidRPr="00A57A22">
        <w:rPr>
          <w:rFonts w:ascii="Times New Roman" w:hAnsi="Times New Roman" w:cs="Times New Roman"/>
          <w:sz w:val="24"/>
          <w:szCs w:val="24"/>
          <w:u w:val="single"/>
        </w:rPr>
        <w:t>chi si è insinuato tempestivamente e chi tardivamente</w:t>
      </w:r>
      <w:r w:rsidRPr="00A57A22">
        <w:rPr>
          <w:rFonts w:ascii="Times New Roman" w:hAnsi="Times New Roman" w:cs="Times New Roman"/>
          <w:sz w:val="24"/>
          <w:szCs w:val="24"/>
        </w:rPr>
        <w:t>, anteponendo i primi rispetto a questi ultimi.</w:t>
      </w:r>
    </w:p>
    <w:p w:rsidR="00B40E41" w:rsidRPr="00A57A22" w:rsidRDefault="00B40E41" w:rsidP="00A57A22">
      <w:pPr>
        <w:spacing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 xml:space="preserve">Per stabilire se un creditore sia da considerarsi tempestivo o tardivo, occorre verificare se egli sia intervenuto prima o dopo la </w:t>
      </w:r>
      <w:r w:rsidRPr="00A57A22">
        <w:rPr>
          <w:rFonts w:ascii="Times New Roman" w:hAnsi="Times New Roman" w:cs="Times New Roman"/>
          <w:sz w:val="24"/>
          <w:szCs w:val="24"/>
          <w:u w:val="single"/>
        </w:rPr>
        <w:t>prima udienza fissata per l’autorizzazione alla vendita</w:t>
      </w:r>
      <w:r w:rsidRPr="00A57A22">
        <w:rPr>
          <w:rFonts w:ascii="Times New Roman" w:hAnsi="Times New Roman" w:cs="Times New Roman"/>
          <w:sz w:val="24"/>
          <w:szCs w:val="24"/>
        </w:rPr>
        <w:t xml:space="preserve"> (art. 563 </w:t>
      </w:r>
      <w:proofErr w:type="spellStart"/>
      <w:r w:rsidRPr="00A57A22">
        <w:rPr>
          <w:rFonts w:ascii="Times New Roman" w:hAnsi="Times New Roman" w:cs="Times New Roman"/>
          <w:sz w:val="24"/>
          <w:szCs w:val="24"/>
        </w:rPr>
        <w:t>c.p.c.</w:t>
      </w:r>
      <w:proofErr w:type="spellEnd"/>
      <w:r w:rsidRPr="00A57A22">
        <w:rPr>
          <w:rFonts w:ascii="Times New Roman" w:hAnsi="Times New Roman" w:cs="Times New Roman"/>
          <w:sz w:val="24"/>
          <w:szCs w:val="24"/>
        </w:rPr>
        <w:t xml:space="preserve">). Tale udienza è quella in cui sia stata pronunciata la prima ordinanza di vendita per quel bene, anche se poi l’asta fissata sia andata deserta e siano state pronunciate successivamente altre ordinanze di vendita. Se sia stata pronunciata ordinanza di vendita solo relativamente ad alcuni dei beni compresi nella procedura, l’intervento successivo sarà tardivo rispetto ai beni compresi nell’ordinanza, ma tempestivo per i beni per i quali non sia stata ancora fissata la vendita. </w:t>
      </w:r>
    </w:p>
    <w:p w:rsidR="00B40E41" w:rsidRPr="00A57A22" w:rsidRDefault="00B40E41" w:rsidP="00A57A22">
      <w:pPr>
        <w:spacing w:before="120" w:line="226" w:lineRule="atLeast"/>
        <w:ind w:right="140"/>
        <w:jc w:val="both"/>
        <w:rPr>
          <w:rFonts w:ascii="Times New Roman" w:hAnsi="Times New Roman" w:cs="Times New Roman"/>
          <w:sz w:val="24"/>
          <w:szCs w:val="24"/>
        </w:rPr>
      </w:pPr>
      <w:r w:rsidRPr="00A57A22">
        <w:rPr>
          <w:rFonts w:ascii="Times New Roman" w:hAnsi="Times New Roman" w:cs="Times New Roman"/>
          <w:sz w:val="24"/>
          <w:szCs w:val="24"/>
        </w:rPr>
        <w:t>Nel caso di più procedure riunite, la tempestività dovrà essere verificata con riferimento alla prima ordinanza di vendita pronunciata per quei beni, anche se emessa prima della riunione: in sostanza, deve procedersi come se la riunione fosse già avvenuta sin dal primo momento.</w:t>
      </w:r>
    </w:p>
    <w:p w:rsidR="00B40E41" w:rsidRPr="00A57A22" w:rsidRDefault="00B40E41" w:rsidP="00A57A22">
      <w:pPr>
        <w:spacing w:before="120" w:line="226" w:lineRule="atLeast"/>
        <w:ind w:right="140"/>
        <w:jc w:val="both"/>
        <w:rPr>
          <w:rFonts w:ascii="Times New Roman" w:hAnsi="Times New Roman" w:cs="Times New Roman"/>
          <w:sz w:val="24"/>
          <w:szCs w:val="24"/>
        </w:rPr>
      </w:pPr>
    </w:p>
    <w:p w:rsidR="00B40E41" w:rsidRPr="00A57A22" w:rsidRDefault="00B40E41" w:rsidP="00A57A22">
      <w:pPr>
        <w:tabs>
          <w:tab w:val="left" w:pos="720"/>
        </w:tabs>
        <w:spacing w:before="120" w:line="226" w:lineRule="atLeast"/>
        <w:ind w:right="140"/>
        <w:jc w:val="both"/>
        <w:rPr>
          <w:rFonts w:ascii="Times New Roman" w:hAnsi="Times New Roman" w:cs="Times New Roman"/>
          <w:b/>
          <w:sz w:val="24"/>
          <w:szCs w:val="24"/>
        </w:rPr>
      </w:pPr>
      <w:r w:rsidRPr="00A57A22">
        <w:rPr>
          <w:rFonts w:ascii="Times New Roman" w:hAnsi="Times New Roman" w:cs="Times New Roman"/>
          <w:b/>
          <w:sz w:val="24"/>
          <w:szCs w:val="24"/>
        </w:rPr>
        <w:t>LIQUIDAZIONE DELLE SPESE GIUDIZIALI</w:t>
      </w: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lastRenderedPageBreak/>
        <w:t xml:space="preserve">Il delegato dovrà precisare nel verbale d’aggiudicazione che il creditore, che intenda veder liquidate le spese giudiziali sostenute, deve presentare la relativa nota spese, competenze ed onorari </w:t>
      </w:r>
      <w:r w:rsidRPr="008479CD">
        <w:rPr>
          <w:rFonts w:ascii="Times New Roman" w:hAnsi="Times New Roman" w:cs="Times New Roman"/>
          <w:sz w:val="24"/>
          <w:szCs w:val="24"/>
          <w:u w:val="single"/>
        </w:rPr>
        <w:t>direttamente al professionista delegato</w:t>
      </w:r>
      <w:r w:rsidRPr="00A57A22">
        <w:rPr>
          <w:rFonts w:ascii="Times New Roman" w:hAnsi="Times New Roman" w:cs="Times New Roman"/>
          <w:sz w:val="24"/>
          <w:szCs w:val="24"/>
        </w:rPr>
        <w:t xml:space="preserve"> entro 30 giorni dall’aggiudicazione definitiva.</w:t>
      </w: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Il mancato invio della nota spese deve essere considerata come rinuncia alla liquidazione. La mancata analitica indicazione di spese sostenute nell’interesse di tutti i creditori (accompagnata da adeguata documentazione giustificativa) deve essere considerata come rinuncia alla refusione.</w:t>
      </w: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Il Consulente provvederà ad inserire nel progetto di distribuzione gli importi richiesti dai procuratori delle parti segnalando tempestivamente al Giudice, prima del deposito del progetto di distribuzione, eventuali anomalie nelle liquidazioni richieste.</w:t>
      </w:r>
    </w:p>
    <w:p w:rsidR="00B40E41"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Le note spese presentate dai creditori dovranno essere allegate al progetto di distribuzione al momento al momento del suo deposito.</w:t>
      </w:r>
    </w:p>
    <w:p w:rsidR="008479CD" w:rsidRPr="00A57A22" w:rsidRDefault="008479CD" w:rsidP="00A57A22">
      <w:pPr>
        <w:tabs>
          <w:tab w:val="left" w:pos="720"/>
        </w:tabs>
        <w:spacing w:before="120" w:line="226" w:lineRule="atLeast"/>
        <w:ind w:right="142"/>
        <w:contextualSpacing/>
        <w:jc w:val="both"/>
        <w:rPr>
          <w:rFonts w:ascii="Times New Roman" w:hAnsi="Times New Roman" w:cs="Times New Roman"/>
          <w:sz w:val="24"/>
          <w:szCs w:val="24"/>
        </w:rPr>
      </w:pP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p>
    <w:p w:rsidR="008479CD" w:rsidRDefault="00B40E41" w:rsidP="00A57A22">
      <w:pPr>
        <w:tabs>
          <w:tab w:val="left" w:pos="720"/>
        </w:tabs>
        <w:spacing w:before="120" w:line="226" w:lineRule="atLeast"/>
        <w:ind w:right="142"/>
        <w:contextualSpacing/>
        <w:jc w:val="both"/>
        <w:rPr>
          <w:rFonts w:ascii="Times New Roman" w:hAnsi="Times New Roman" w:cs="Times New Roman"/>
          <w:b/>
          <w:sz w:val="24"/>
          <w:szCs w:val="24"/>
        </w:rPr>
      </w:pPr>
      <w:r w:rsidRPr="00A57A22">
        <w:rPr>
          <w:rFonts w:ascii="Times New Roman" w:hAnsi="Times New Roman" w:cs="Times New Roman"/>
          <w:b/>
          <w:sz w:val="24"/>
          <w:szCs w:val="24"/>
        </w:rPr>
        <w:t>MANCATA TRASMISSIONE DEL PIANO DI AMMORTAMENTO</w:t>
      </w: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b/>
          <w:sz w:val="24"/>
          <w:szCs w:val="24"/>
        </w:rPr>
      </w:pPr>
      <w:r w:rsidRPr="00A57A22">
        <w:rPr>
          <w:rFonts w:ascii="Times New Roman" w:hAnsi="Times New Roman" w:cs="Times New Roman"/>
          <w:b/>
          <w:sz w:val="24"/>
          <w:szCs w:val="24"/>
        </w:rPr>
        <w:t xml:space="preserve"> </w:t>
      </w:r>
    </w:p>
    <w:p w:rsidR="00B40E41"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Se il creditore non trasmette il piano di ammortamento e il delegato sia nell’impossibilità di determinare in altro modo l’importo della quota capitale e di quella interessi, dovrà dare comunicazione al procuratore del creditore interessato che, qualora tali indicazioni non vengano fornite entro 30 giorni, il credito sarà posto interamente (e quindi anche per la quota capitale) in chirografo. In mancanza del dovuto riscontro provvederà in tal senso.</w:t>
      </w:r>
    </w:p>
    <w:p w:rsidR="008479CD" w:rsidRPr="00A57A22" w:rsidRDefault="008479CD" w:rsidP="00A57A22">
      <w:pPr>
        <w:tabs>
          <w:tab w:val="left" w:pos="720"/>
        </w:tabs>
        <w:spacing w:before="120" w:line="226" w:lineRule="atLeast"/>
        <w:ind w:right="142"/>
        <w:contextualSpacing/>
        <w:jc w:val="both"/>
        <w:rPr>
          <w:rFonts w:ascii="Times New Roman" w:hAnsi="Times New Roman" w:cs="Times New Roman"/>
          <w:sz w:val="24"/>
          <w:szCs w:val="24"/>
        </w:rPr>
      </w:pP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b/>
          <w:sz w:val="24"/>
          <w:szCs w:val="24"/>
        </w:rPr>
      </w:pPr>
    </w:p>
    <w:p w:rsidR="00B40E41" w:rsidRDefault="00B40E41" w:rsidP="00A57A22">
      <w:pPr>
        <w:tabs>
          <w:tab w:val="left" w:pos="720"/>
        </w:tabs>
        <w:spacing w:before="120" w:line="226" w:lineRule="atLeast"/>
        <w:ind w:right="142"/>
        <w:contextualSpacing/>
        <w:jc w:val="both"/>
        <w:rPr>
          <w:rFonts w:ascii="Times New Roman" w:hAnsi="Times New Roman" w:cs="Times New Roman"/>
          <w:b/>
          <w:sz w:val="24"/>
          <w:szCs w:val="24"/>
        </w:rPr>
      </w:pPr>
      <w:r w:rsidRPr="00A57A22">
        <w:rPr>
          <w:rFonts w:ascii="Times New Roman" w:hAnsi="Times New Roman" w:cs="Times New Roman"/>
          <w:b/>
          <w:sz w:val="24"/>
          <w:szCs w:val="24"/>
        </w:rPr>
        <w:t xml:space="preserve">ORDINE DI RESTITUZIONE DELLE SOMME VERSATE IN ECCEDENZA AL CREDITO FONDIARIO </w:t>
      </w:r>
    </w:p>
    <w:p w:rsidR="008479CD" w:rsidRPr="00A57A22" w:rsidRDefault="008479CD" w:rsidP="00A57A22">
      <w:pPr>
        <w:tabs>
          <w:tab w:val="left" w:pos="720"/>
        </w:tabs>
        <w:spacing w:before="120" w:line="226" w:lineRule="atLeast"/>
        <w:ind w:right="142"/>
        <w:contextualSpacing/>
        <w:jc w:val="both"/>
        <w:rPr>
          <w:rFonts w:ascii="Times New Roman" w:hAnsi="Times New Roman" w:cs="Times New Roman"/>
          <w:b/>
          <w:sz w:val="24"/>
          <w:szCs w:val="24"/>
        </w:rPr>
      </w:pP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Nel caso in cui l’importo incassato dal creditore fondiario in corso di procedura risulti superiore a quanto dovuto in forza del progetto di distribuzione, il delegato provvederà a predisporre l’ordine di restituzione (che sarà sottoscritto dal Giudice).</w:t>
      </w:r>
    </w:p>
    <w:p w:rsidR="00B40E41"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p>
    <w:p w:rsidR="008479CD" w:rsidRPr="00A57A22" w:rsidRDefault="008479CD" w:rsidP="00A57A22">
      <w:pPr>
        <w:tabs>
          <w:tab w:val="left" w:pos="720"/>
        </w:tabs>
        <w:spacing w:before="120" w:line="226" w:lineRule="atLeast"/>
        <w:ind w:right="142"/>
        <w:contextualSpacing/>
        <w:jc w:val="both"/>
        <w:rPr>
          <w:rFonts w:ascii="Times New Roman" w:hAnsi="Times New Roman" w:cs="Times New Roman"/>
          <w:sz w:val="24"/>
          <w:szCs w:val="24"/>
        </w:rPr>
      </w:pPr>
    </w:p>
    <w:p w:rsidR="00B40E41" w:rsidRDefault="00B40E41" w:rsidP="00A57A22">
      <w:pPr>
        <w:tabs>
          <w:tab w:val="left" w:pos="720"/>
        </w:tabs>
        <w:spacing w:before="120" w:line="226" w:lineRule="atLeast"/>
        <w:ind w:right="142"/>
        <w:contextualSpacing/>
        <w:jc w:val="both"/>
        <w:rPr>
          <w:rFonts w:ascii="Times New Roman" w:hAnsi="Times New Roman" w:cs="Times New Roman"/>
          <w:b/>
          <w:sz w:val="24"/>
          <w:szCs w:val="24"/>
        </w:rPr>
      </w:pPr>
      <w:r w:rsidRPr="00A57A22">
        <w:rPr>
          <w:rFonts w:ascii="Times New Roman" w:hAnsi="Times New Roman" w:cs="Times New Roman"/>
          <w:b/>
          <w:sz w:val="24"/>
          <w:szCs w:val="24"/>
        </w:rPr>
        <w:t>INDICAZIONE DELLA DESTINAZIONE DI EVENTUALI SOPRAVVENIENZE ATTIVE</w:t>
      </w:r>
    </w:p>
    <w:p w:rsidR="008479CD" w:rsidRPr="00A57A22" w:rsidRDefault="008479CD" w:rsidP="00A57A22">
      <w:pPr>
        <w:tabs>
          <w:tab w:val="left" w:pos="720"/>
        </w:tabs>
        <w:spacing w:before="120" w:line="226" w:lineRule="atLeast"/>
        <w:ind w:right="142"/>
        <w:contextualSpacing/>
        <w:jc w:val="both"/>
        <w:rPr>
          <w:rFonts w:ascii="Times New Roman" w:hAnsi="Times New Roman" w:cs="Times New Roman"/>
          <w:b/>
          <w:sz w:val="24"/>
          <w:szCs w:val="24"/>
        </w:rPr>
      </w:pPr>
    </w:p>
    <w:p w:rsidR="00B40E41" w:rsidRPr="00A57A22" w:rsidRDefault="00B40E41" w:rsidP="00A57A22">
      <w:pPr>
        <w:tabs>
          <w:tab w:val="left" w:pos="720"/>
        </w:tabs>
        <w:spacing w:before="120" w:line="226" w:lineRule="atLeast"/>
        <w:ind w:right="142"/>
        <w:contextualSpacing/>
        <w:jc w:val="both"/>
        <w:rPr>
          <w:rFonts w:ascii="Times New Roman" w:hAnsi="Times New Roman" w:cs="Times New Roman"/>
          <w:sz w:val="24"/>
          <w:szCs w:val="24"/>
        </w:rPr>
      </w:pPr>
      <w:r w:rsidRPr="00A57A22">
        <w:rPr>
          <w:rFonts w:ascii="Times New Roman" w:hAnsi="Times New Roman" w:cs="Times New Roman"/>
          <w:sz w:val="24"/>
          <w:szCs w:val="24"/>
        </w:rPr>
        <w:t>Poiché talvolta al momento dell’approvazione del progetto di distribuzione o dell’effettiva chiusura della procedura possono verificarsi sopravvenienze attive, il delegato dovrà indicare nominativamente i creditori cui tali importi andranno eventualmente distribuiti secondo le normali regole di graduazione.</w:t>
      </w:r>
    </w:p>
    <w:p w:rsidR="00B40E41" w:rsidRDefault="00B40E41" w:rsidP="008479CD">
      <w:pPr>
        <w:tabs>
          <w:tab w:val="left" w:pos="720"/>
        </w:tabs>
        <w:spacing w:before="120" w:line="226" w:lineRule="atLeast"/>
        <w:ind w:right="140"/>
        <w:jc w:val="both"/>
        <w:rPr>
          <w:rFonts w:ascii="Times New Roman" w:hAnsi="Times New Roman" w:cs="Times New Roman"/>
          <w:color w:val="000000"/>
          <w:sz w:val="24"/>
          <w:szCs w:val="24"/>
        </w:rPr>
      </w:pPr>
    </w:p>
    <w:p w:rsidR="0064641E" w:rsidRPr="00A57A22" w:rsidRDefault="0064641E" w:rsidP="008479CD">
      <w:pPr>
        <w:tabs>
          <w:tab w:val="left" w:pos="720"/>
        </w:tabs>
        <w:spacing w:before="120" w:line="226" w:lineRule="atLeast"/>
        <w:ind w:right="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Cagliari, 13 maggio 2019 </w:t>
      </w:r>
    </w:p>
    <w:sectPr w:rsidR="0064641E" w:rsidRPr="00A57A22" w:rsidSect="00567A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C9E" w:rsidRDefault="00501C9E" w:rsidP="00A82DC2">
      <w:pPr>
        <w:spacing w:after="0" w:line="240" w:lineRule="auto"/>
      </w:pPr>
      <w:r>
        <w:separator/>
      </w:r>
    </w:p>
  </w:endnote>
  <w:endnote w:type="continuationSeparator" w:id="0">
    <w:p w:rsidR="00501C9E" w:rsidRDefault="00501C9E" w:rsidP="00A8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C9E" w:rsidRDefault="00501C9E" w:rsidP="00A82DC2">
      <w:pPr>
        <w:spacing w:after="0" w:line="240" w:lineRule="auto"/>
      </w:pPr>
      <w:r>
        <w:separator/>
      </w:r>
    </w:p>
  </w:footnote>
  <w:footnote w:type="continuationSeparator" w:id="0">
    <w:p w:rsidR="00501C9E" w:rsidRDefault="00501C9E" w:rsidP="00A82DC2">
      <w:pPr>
        <w:spacing w:after="0" w:line="240" w:lineRule="auto"/>
      </w:pPr>
      <w:r>
        <w:continuationSeparator/>
      </w:r>
    </w:p>
  </w:footnote>
  <w:footnote w:id="1">
    <w:p w:rsidR="00A82DC2" w:rsidRDefault="00A82DC2" w:rsidP="00A82DC2">
      <w:pPr>
        <w:autoSpaceDE w:val="0"/>
        <w:autoSpaceDN w:val="0"/>
        <w:adjustRightInd w:val="0"/>
        <w:spacing w:after="0" w:line="240" w:lineRule="auto"/>
        <w:jc w:val="both"/>
        <w:rPr>
          <w:rFonts w:ascii="Times New Roman" w:hAnsi="Times New Roman" w:cs="Times New Roman"/>
          <w:b/>
          <w:bCs/>
          <w:color w:val="000000"/>
          <w:sz w:val="20"/>
          <w:szCs w:val="20"/>
        </w:rPr>
      </w:pPr>
      <w:r>
        <w:rPr>
          <w:rStyle w:val="Rimandonotaapidipagina"/>
        </w:rPr>
        <w:footnoteRef/>
      </w:r>
      <w:r>
        <w:t xml:space="preserve"> </w:t>
      </w:r>
      <w:r>
        <w:rPr>
          <w:rFonts w:ascii="Times New Roman" w:hAnsi="Times New Roman" w:cs="Times New Roman"/>
          <w:b/>
          <w:bCs/>
          <w:color w:val="000000"/>
          <w:sz w:val="20"/>
          <w:szCs w:val="20"/>
        </w:rPr>
        <w:t>Le disposizioni che seguono fanno riferimento alle vendite disposte con modalità telematiche; per le vendite</w:t>
      </w:r>
    </w:p>
    <w:p w:rsidR="00A82DC2" w:rsidRDefault="00A82DC2" w:rsidP="00A82DC2">
      <w:pPr>
        <w:autoSpaceDE w:val="0"/>
        <w:autoSpaceDN w:val="0"/>
        <w:adjustRightInd w:val="0"/>
        <w:spacing w:after="0" w:line="240" w:lineRule="auto"/>
        <w:jc w:val="both"/>
        <w:rPr>
          <w:rFonts w:ascii="Times New Roman" w:hAnsi="Times New Roman" w:cs="Times New Roman"/>
          <w:b/>
          <w:bCs/>
          <w:color w:val="000000"/>
          <w:sz w:val="20"/>
          <w:szCs w:val="20"/>
        </w:rPr>
      </w:pPr>
      <w:proofErr w:type="gramStart"/>
      <w:r>
        <w:rPr>
          <w:rFonts w:ascii="Times New Roman" w:hAnsi="Times New Roman" w:cs="Times New Roman"/>
          <w:b/>
          <w:bCs/>
          <w:color w:val="000000"/>
          <w:sz w:val="20"/>
          <w:szCs w:val="20"/>
        </w:rPr>
        <w:t>delegate</w:t>
      </w:r>
      <w:proofErr w:type="gramEnd"/>
      <w:r>
        <w:rPr>
          <w:rFonts w:ascii="Times New Roman" w:hAnsi="Times New Roman" w:cs="Times New Roman"/>
          <w:b/>
          <w:bCs/>
          <w:color w:val="000000"/>
          <w:sz w:val="20"/>
          <w:szCs w:val="20"/>
        </w:rPr>
        <w:t xml:space="preserve"> precedentemente si procederà secondo le disposizioni precedenti.</w:t>
      </w:r>
    </w:p>
    <w:p w:rsidR="00A82DC2" w:rsidRDefault="00A82DC2">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C8F"/>
    <w:multiLevelType w:val="hybridMultilevel"/>
    <w:tmpl w:val="F43AED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97311B"/>
    <w:multiLevelType w:val="hybridMultilevel"/>
    <w:tmpl w:val="515CC9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813D7C"/>
    <w:multiLevelType w:val="hybridMultilevel"/>
    <w:tmpl w:val="F1AC08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A90CF0"/>
    <w:multiLevelType w:val="hybridMultilevel"/>
    <w:tmpl w:val="E75072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6F24B9"/>
    <w:multiLevelType w:val="hybridMultilevel"/>
    <w:tmpl w:val="EA5C7A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DD4099"/>
    <w:multiLevelType w:val="hybridMultilevel"/>
    <w:tmpl w:val="54D60E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DD"/>
    <w:rsid w:val="0014355F"/>
    <w:rsid w:val="00173302"/>
    <w:rsid w:val="001D6544"/>
    <w:rsid w:val="002C3E3F"/>
    <w:rsid w:val="00370C99"/>
    <w:rsid w:val="00375961"/>
    <w:rsid w:val="003E0FA8"/>
    <w:rsid w:val="00433FFC"/>
    <w:rsid w:val="0044054C"/>
    <w:rsid w:val="004B2D56"/>
    <w:rsid w:val="00501C9E"/>
    <w:rsid w:val="0053284A"/>
    <w:rsid w:val="00544E80"/>
    <w:rsid w:val="00567A13"/>
    <w:rsid w:val="0064435E"/>
    <w:rsid w:val="0064641E"/>
    <w:rsid w:val="008479CD"/>
    <w:rsid w:val="00882148"/>
    <w:rsid w:val="008832DD"/>
    <w:rsid w:val="008A56AC"/>
    <w:rsid w:val="008C7585"/>
    <w:rsid w:val="00A33414"/>
    <w:rsid w:val="00A57A22"/>
    <w:rsid w:val="00A82DC2"/>
    <w:rsid w:val="00AE6AA7"/>
    <w:rsid w:val="00B03A27"/>
    <w:rsid w:val="00B40E41"/>
    <w:rsid w:val="00B751FC"/>
    <w:rsid w:val="00BE388C"/>
    <w:rsid w:val="00C21FE0"/>
    <w:rsid w:val="00FA5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A9122-B3B5-492F-81EA-163D2D27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Normale"/>
    <w:next w:val="Normale"/>
    <w:link w:val="Titolo5Carattere"/>
    <w:qFormat/>
    <w:rsid w:val="00A82DC2"/>
    <w:pPr>
      <w:keepNext/>
      <w:spacing w:after="0" w:line="240" w:lineRule="auto"/>
      <w:jc w:val="both"/>
      <w:outlineLvl w:val="4"/>
    </w:pPr>
    <w:rPr>
      <w:rFonts w:ascii="Times New Roman" w:eastAsia="Times New Roman" w:hAnsi="Times New Roman" w:cs="Times New Roman"/>
      <w:smallCaps/>
      <w:color w:val="00000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A82DC2"/>
    <w:rPr>
      <w:rFonts w:ascii="Times New Roman" w:eastAsia="Times New Roman" w:hAnsi="Times New Roman" w:cs="Times New Roman"/>
      <w:smallCaps/>
      <w:color w:val="000000"/>
      <w:sz w:val="24"/>
      <w:szCs w:val="20"/>
      <w:lang w:eastAsia="it-IT"/>
    </w:rPr>
  </w:style>
  <w:style w:type="paragraph" w:styleId="Testonotaapidipagina">
    <w:name w:val="footnote text"/>
    <w:basedOn w:val="Normale"/>
    <w:link w:val="TestonotaapidipaginaCarattere"/>
    <w:uiPriority w:val="99"/>
    <w:semiHidden/>
    <w:unhideWhenUsed/>
    <w:rsid w:val="00A82DC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2DC2"/>
    <w:rPr>
      <w:sz w:val="20"/>
      <w:szCs w:val="20"/>
    </w:rPr>
  </w:style>
  <w:style w:type="character" w:styleId="Rimandonotaapidipagina">
    <w:name w:val="footnote reference"/>
    <w:basedOn w:val="Carpredefinitoparagrafo"/>
    <w:uiPriority w:val="99"/>
    <w:semiHidden/>
    <w:unhideWhenUsed/>
    <w:rsid w:val="00A82DC2"/>
    <w:rPr>
      <w:vertAlign w:val="superscript"/>
    </w:rPr>
  </w:style>
  <w:style w:type="paragraph" w:customStyle="1" w:styleId="Stilenuovo">
    <w:name w:val="Stile nuovo"/>
    <w:basedOn w:val="Normale"/>
    <w:rsid w:val="00B40E41"/>
    <w:pPr>
      <w:spacing w:after="0" w:line="360" w:lineRule="auto"/>
      <w:jc w:val="both"/>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B40E41"/>
    <w:pPr>
      <w:spacing w:after="0" w:line="240" w:lineRule="auto"/>
      <w:ind w:left="720"/>
      <w:contextualSpacing/>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CFBC-AD80-4206-8BDE-B3091EF1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3919</Words>
  <Characters>22344</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26211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Ielo</dc:creator>
  <cp:keywords/>
  <dc:description/>
  <cp:lastModifiedBy>Silvia Cocco</cp:lastModifiedBy>
  <cp:revision>14</cp:revision>
  <dcterms:created xsi:type="dcterms:W3CDTF">2019-05-13T10:45:00Z</dcterms:created>
  <dcterms:modified xsi:type="dcterms:W3CDTF">2020-02-20T10:43:00Z</dcterms:modified>
</cp:coreProperties>
</file>